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245a BBauG — Überleitungsvorschriften und Vorschriften im Zusammenhang mit dem Gesetz zur Stärkung der Innenentwicklung in den Städten und Gemeinden und weiteren Fortentwicklung des Städtebaurechts</w:t>
      </w:r>
    </w:p>
    <w:p>
      <w:r>
        <w:rPr>
          <w:color w:val="555555"/>
          <w:sz w:val="18"/>
        </w:rPr>
        <w:t xml:space="preserve">Baugesetzbuch</w:t>
      </w:r>
    </w:p>
    <w:p>
      <w:r>
        <w:rPr>
          <w:color w:val="555555"/>
          <w:sz w:val="18"/>
        </w:rPr>
        <w:t xml:space="preserve">Stand: 01.10.2023 (konsolidierte Textfassung, kein amtliches Inkrafttretensdatum)</w:t>
      </w:r>
    </w:p>
    <w:p>
      <w:r>
        <w:t xml:space="preserve">(1) Die Regelungen zur Zulässigkeit von Anlagen zur Kinderbetreuung sowie von Anlagen zur Nutzung solarer Strahlungsenergie und Kraft-Wärme-Kopplungsanlagen in § 3 Absatz 2 Nummer 2 und § 14 Absatz 3 der Baunutzungsverordnung in der ab dem 20. September 2013 geltenden Fassung gelten vorbehaltlich des Satzes 2 und des Absatzes 2 auch für Bebauungspläne, die auf der Grundlage der Baunutzungsverordnung in einer Fassung vor dem 20. September 2013 in Kraft getreten sind. Satz 1 gilt nicht in Bezug auf Anlagen zur Kinderbetreuung, wenn vor dem 20. September 2013 die ausnahmsweise Zulässigkeit dieser Anlagen nach § 3 Absatz 3 Nummer 2 der Baunutzungsverordnung in der vom 27. Januar 1990 bis zum 20. September 2013 geltenden Fassung durch Festsetzungen nach § 1 Absatz 6 Nummer 1, Absatz 8 und 9 der Baunutzungsverordnung ausgeschlossen worden ist.</w:t>
      </w:r>
    </w:p>
    <w:p>
      <w:r>
        <w:t xml:space="preserve">(2) Die sich aus § 3 Absatz 2 Nummer 2 und § 14 Absatz 3 der Baunutzungsverordnung in der ab dem 20. September 2013 geltenden Fassung in Verbindung mit Absatz 1 Satz 1 ergebende Zulässigkeit von Anlagen zur Kinderbetreuung sowie von Anlagen zur Nutzung solarer Strahlungsenergie und von Kraft-Wärme-Kopplungsanlagen kann durch Änderung der Bebauungspläne nach Maßgabe der Vorschriften der Baunutzungsverordnung eingeschränkt oder ausgeschlossen werden; hierauf sind die Vorschriften dieses Gesetzbuchs über die Aufstellung der Bauleitpläne, einschließlich der §§ 14 bis 18, anzuwenden. Das Verfahren für die Änderung von Bebauungsplänen nach Satz 1 kann vor dem 20. September 2013 eingeleitet werden.</w:t>
      </w:r>
    </w:p>
    <w:p>
      <w:r>
        <w:t xml:space="preserve">(3) Darstellungen in Flächennutzungsplänen, die vor dem 20. September 2013 in Bezug auf bauliche Anlagen zur Tierhaltung im Sinne des § 35 Absatz 1 Nummer 4 die Rechtswirkungen des § 35 Absatz 3 Satz 3 erzielt haben, haben diese Rechtswirkungen auch in Bezug auf bauliche Anlagen zur Tierhaltung im Sinne der ab dem 20. September 2013 geltenden Fassung des § 35 Absatz 1 Nummer 4. Wenn ein Fortgelten der Rechtswirkungen nach Satz 1 der ursprünglichen planerischen Zielsetzung widerspricht, stellt die Gemeinde dies in einem Beschluss fest, der ortsüblich bekannt zu machen ist. Mit der ortsüblichen Bekanntmachung des Beschlusses gelten die entsprechenden Darstellungen als aufgehoben; der Flächennutzungsplan ist im Wege der Berichtigung anzupassen.</w:t>
      </w:r>
    </w:p>
    <w:p>
      <w:r>
        <w:t xml:space="preserve">(4) Soweit für Zulassungsentscheidungen über Anlagen zur Tierhaltung, die dem § 35 Absatz 1 Nummer 4 unterfallen, vor Ablauf des 4. Juli 2012 bei der zuständigen Behörde ein Antrag eingegangen ist, ist § 35 Absatz 1 Nummer 4 in seiner bis zum 20. September 2013 geltenden Fassung anzuwenden.</w:t>
      </w:r>
    </w:p>
    <w:p>
      <w:r>
        <w:t xml:space="preserve">(5) Soweit bei einer Zulassungsentscheidung über Anlagen zur Tierhaltung auf Grund von Absatz 4 § 35 Absatz 1 Nummer 4 in seiner bis zum Ablauf des 20. September 2013 geltenden Fassung anzuwenden war, ist die Änderung der danach errichteten baulichen Anlage zur Tierhaltung ebenfalls unter den Voraussetzungen des § 35 Absatz 1 Nummer 4 in seiner bis zum Ablauf des 20. September 2013 geltenden Fassung zulässig, wenn</w:t>
      </w:r>
    </w:p>
    <w:p>
      <w:pPr>
        <w:ind w:left="420"/>
      </w:pPr>
      <w:r>
        <w:t xml:space="preserve">1. es sich ausschließlich um eine Änderung zur Umsetzung eines Betriebs- und Umbaukonzepts zur Umstellung der vorhandenen Haltungseinrichtungen auf Haltungseinrichtungen zum Halten von Jungsauen und Sauen, das den Anforderungen des § 30 Absatz 2 und 2a der Tierschutz-Nutztierhaltungsverordnung in der Fassung der Bekanntmachung vom 22. August 2006 (BGBl. I S. 2043), die zuletzt durch Artikel 1a der Verordnung vom 29. Januar 2021 (BGBl. I S. 146) geändert worden ist, jeweils in Verbindung mit § 24 Absatz 2 der Tierschutz-Nutztierhaltungsverordnung, genügt, oder eines Betriebs- und Umbaukonzepts zur Umstellung der vorhandenen Abferkelbuchten auf Abferkelbuchten zum Halten von Jungsauen und Sauen, das den Anforderungen des § 24 Absatz 3 Satz 3 und Absatz 4 sowie § 30 Absatz 2b der Tierschutz-Nutztierhaltungsverordnung genügt, handelt sowie</w:t>
      </w:r>
    </w:p>
    <w:p>
      <w:pPr>
        <w:ind w:left="420"/>
      </w:pPr>
      <w:r>
        <w:t xml:space="preserve">2. die Anzahl der Tierplätze nicht erhöht und die Tierart im Sinne der Nummer 7.8 der Anlage 1 zum Gesetz über die Umweltverträglichkeitsprüfung nicht geändert wird.</w:t>
      </w:r>
    </w:p>
    <w:p>
      <w:r>
        <w:t xml:space="preserve">Satz 1 gilt auch für bauliche Anlagen zur Tierhaltung im Außenbereich nach § 35, die dem Anwendungsbereich des § 35 Absatz 1 Nummer 1 nicht oder nicht mehr unterfallen und deren Zulassungsentscheidung vor dem 20. September 2013 getroffen worden ist. Unbeschadet von Satz 1 und 2 bleibt die Möglichkeit, ein Vorhaben nach § 35 zuzulassen.</w:t>
      </w:r>
    </w:p>
    <w:p>
      <w:r>
        <w:t xml:space="preserve">(6) Soweit bei einer Zulassungsentscheidung über Anlagen zur Tierhaltung auf Grund von Absatz 4 § 35 Absatz 1 Nummer 4 in seiner bis zum Ablauf des 20. September 2013 geltenden Fassung anzuwenden war, ist die Änderung der danach errichteten baulichen Anlage zur Tierhaltung ebenfalls unter den Voraussetzungen des § 35 Absatz 1 Nummer 4 in seiner bis zum Ablauf des 20. September 2013 geltenden Fassung zulässig, wenn</w:t>
      </w:r>
    </w:p>
    <w:p>
      <w:pPr>
        <w:ind w:left="420"/>
      </w:pPr>
      <w:r>
        <w:t xml:space="preserve">1. es sich ausschließlich um eine Änderung handelt, durch die eine vorhandene bauliche Anlage zur Tierhaltung auf eine bauliche Anlage zur Tierhaltung umgestellt wird, die den Anforderungen an die Haltungsform Frischluftstall, Auslauf/Weide oder Bio im Sinne des § 4 Absatz 1 Nummer 3 bis 5 des Tierhaltungskennzeichnungsgesetzes vom 17. August 2023 (BGBl. 2023 I Nr. 220) in der jeweils geltenden Fassung genügt,</w:t>
      </w:r>
    </w:p>
    <w:p>
      <w:pPr>
        <w:ind w:left="420"/>
      </w:pPr>
      <w:r>
        <w:t xml:space="preserve">2. die Tierart im Sinne der Nummern 7.1 bis 7.9 der Anlage 1 zum Gesetz über die Umweltverträglichkeitsprüfung, die bis zur Änderung in der baulichen Anlage zur Tierhaltung gehalten wurde, nicht geändert wird, es sei denn, mit der Änderung erfolgt zugleich ein Wechsel in eine höhere Haltungsform im Sinne des § 4 Absatz 1 des Tierhaltungskennzeichnungsgesetzes und</w:t>
      </w:r>
    </w:p>
    <w:p>
      <w:pPr>
        <w:ind w:left="420"/>
      </w:pPr>
      <w:r>
        <w:t xml:space="preserve">3. durch die Änderung die Grundfläche und die Höhe der baulichen Anlage zur Tierhaltung nur insoweit vergrößert wird, als dies unter Beibehaltung der vor dem Umbau zulässigen Höchsttierzahl zur Erfüllung der Anforderungen an die Haltungsform Frischluftstall, Auslauf/Weide oder Bio im Sinne des § 4 Absatz 1 Nummer 3 bis 5 des Tierhaltungskennzeichnungsgesetzes erforderlich ist, wobei Flächen für einen Auslauf, der den Anforderungen an die Haltungsform Frischluftstall, Auslauf/Weide oder Bio im Sinne des § 4 Absatz 1 Nummer 3 bis 5 des Tierhaltungskennzeichnungsgesetzes genügt, nicht in die Grundfläche einzurechnen sind.</w:t>
      </w:r>
    </w:p>
    <w:p>
      <w:r>
        <w:t xml:space="preserve">Bei einer Änderung der Tierart im Sinne von Satz 1 Nummer 2 bestimmt sich die zulässige Höchsttierzahl im Sinne von Satz 1 Nummer 3 durch die Umrechnung über Großvieheinheiten im Sinne des Anhangs A der technischen Regel VDI 3894 Blatt 1 Ausgabe September 2011, die bei der Beuth Verlag GmbH, Berlin, zu beziehen ist. Satz 1 gilt auch für bauliche Anlagen zur Tierhaltung im Außenbereich nach § 35, die dem Anwendungsbereich des § 35 Absatz 1 Nummer 1 nicht oder nicht mehr unterfallen und deren Zulassungsentscheidung vor dem 20. September 2013 getroffen worden ist. Satz 1 gilt entsprechend für den Rückbau einer vorhandenen baulichen Anlage zur Tierhaltung und die Errichtung eines gleichartigen Ersatzbaus, wenn</w:t>
      </w:r>
    </w:p>
    <w:p>
      <w:pPr>
        <w:ind w:left="420"/>
      </w:pPr>
      <w:r>
        <w:t xml:space="preserve">1. hierdurch keine stärkere Belastung des Außenbereichs zu erwarten ist als im Fall der Änderung, insbesondere wenn auch die Bodenversiegelung durch die zurückzubauende Anlage beseitigt wird,</w:t>
      </w:r>
    </w:p>
    <w:p>
      <w:pPr>
        <w:ind w:left="420"/>
      </w:pPr>
      <w:r>
        <w:t xml:space="preserve">2. der Standort des Ersatzbaus im räumlichen Zusammenhang mit dem Standort der zurückzubauenden Anlage steht und</w:t>
      </w:r>
    </w:p>
    <w:p>
      <w:pPr>
        <w:ind w:left="420"/>
      </w:pPr>
      <w:r>
        <w:t xml:space="preserve">3. die Errichtung des Ersatzbaus mit nachbarlichen Interessen vereinbar ist.</w:t>
      </w:r>
    </w:p>
    <w:p>
      <w:r>
        <w:t xml:space="preserve">Für Änderungen an baulichen Anlagen zur Tierhaltung, auf deren Zulassungsentscheidung dieses Gesetz in seiner ab dem 20. September 2013 geltenden Fassung anzuwenden war, soll eine Befreiung nach § 31 Absatz 2 erteilt werden, wenn das Änderungsvorhaben die Voraussetzung von Satz 1 erfüllt. Satz 4 gilt entsprechend. Unbeschadet der Sätze 1 bis 5 bleibt die Möglichkeit, ein Vorhaben nach § 35 zuzulassen.</w:t>
      </w:r>
    </w:p>
    <w:p>
      <w:r>
        <w:rPr>
          <w:color w:val="555555"/>
          <w:sz w:val="17"/>
        </w:rPr>
        <w:t xml:space="preserve">Zitiervorschlag: § 245a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245a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