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243 BBauG — Überleitungsvorschriften für das Maßnahmengesetz zum Baugesetzbuch und das Bundesnaturschutzgesetz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233 ist auf Verfahren, Pläne, Satzungen und Entscheidungen, die auf der Grundlage des Maßnahmengesetzes zum Baugesetzbuch eingeleitet, in Kraft getreten oder wirksam geworden sind, entsprechend anzuwenden.</w:t>
      </w:r>
    </w:p>
    <w:p>
      <w:r>
        <w:t xml:space="preserve">(2) Bei Bauleitplanverfahren, die vor dem 1. Januar 1998 förmlich eingeleitet worden sind, kann die Eingriffsregelung nach dem Bundesnaturschutzgesetz in der bis zum 31. Dezember 1997 geltenden Fassung weiter angewendet werden.</w:t>
      </w:r>
    </w:p>
    <w:p>
      <w:r>
        <w:rPr>
          <w:color w:val="555555"/>
          <w:sz w:val="17"/>
        </w:rPr>
        <w:t xml:space="preserve">Zitiervorschlag: § 243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243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