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239 BBauG — Überleitungsvorschrift für die Grenzregelung</w:t>
      </w:r>
    </w:p>
    <w:p>
      <w:r>
        <w:rPr>
          <w:color w:val="555555"/>
          <w:sz w:val="18"/>
        </w:rPr>
        <w:t xml:space="preserve">Baugesetzbuch</w:t>
      </w:r>
    </w:p>
    <w:p>
      <w:r>
        <w:rPr>
          <w:color w:val="555555"/>
          <w:sz w:val="18"/>
        </w:rPr>
        <w:t xml:space="preserve">Stand: 10.06.2019 (konsolidierte Textfassung, kein amtliches Inkrafttretensdatum)</w:t>
      </w:r>
    </w:p>
    <w:p>
      <w:r>
        <w:t xml:space="preserve">Hat die Gemeinde den Beschluss über die Grenzregelung (§ 82 in der vor dem 20. Juli 2004 geltenden Fassung) vor dem 20. Juli 2004 gefasst, sind die Vorschriften des Zweiten Abschnitts des Vierten Teils des Ersten Kapitels in der vor dem 20. Juli 2004 geltenden Fassung weiterhin anzuwenden.</w:t>
      </w:r>
    </w:p>
    <w:p>
      <w:r>
        <w:rPr>
          <w:color w:val="555555"/>
          <w:sz w:val="17"/>
        </w:rPr>
        <w:t xml:space="preserve">Zitiervorschlag: § 239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