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236 BBauG — Überleitungsvorschriften für das Baugebot und die Erhaltung baulicher Anlagen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§ 176 Absatz 9 ist auf Enteignungsverfahren nach § 85 Absatz 1 Nummer 5 anzuwenden, wenn der Eigentümer die Verpflichtung aus einem Baugebot nicht erfüllt, das nach dem 31. Mai 1990 angeordnet worden ist.</w:t>
      </w:r>
    </w:p>
    <w:p>
      <w:r>
        <w:t xml:space="preserve">(2) § 172 Absatz 1 Satz 4 bis 6 gilt nicht für die Bildung von Teil- und Wohnungseigentum, dessen Eintragung vor dem 26. Juni 1997 beantragt worden ist. Dies gilt auch, wenn ein Anspruch auf Bildung oder Übertragung von Teil- und Wohnungseigentum vor dem 26. Juni 1997 durch eine Vormerkung gesichert wurde. § 172 in der ab dem 1. Januar 1998 geltenden Fassung ist auch auf Satzungen, die vor dem 1. Januar 1998 ortsüblich bekannt gemacht worden sind, anzuwenden.</w:t>
      </w:r>
    </w:p>
    <w:p>
      <w:r>
        <w:rPr>
          <w:color w:val="555555"/>
          <w:sz w:val="17"/>
        </w:rPr>
        <w:t xml:space="preserve">Zitiervorschlag: § 236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https://recht.nulegal.eu/gesetze/BBauG/236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