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234 BBauG — Überleitungsvorschriften für das Vorkaufsrecht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Vorkaufsrecht sind die jeweils zur Zeit des Verkaufsfalls geltenden städtebaurechtlichen Vorschriften anzuwenden.</w:t>
      </w:r>
    </w:p>
    <w:p>
      <w:r>
        <w:t xml:space="preserve">(2) Satzungen, die auf Grund von § 25 des Bundesbaugesetzes erlassen worden sind, gelten als Satzungen nach § 25 Absatz 1 Satz 1 Nummer 2 weiter.</w:t>
      </w:r>
    </w:p>
    <w:p>
      <w:r>
        <w:rPr>
          <w:color w:val="555555"/>
          <w:sz w:val="17"/>
        </w:rPr>
        <w:t xml:space="preserve">Zitiervorschlag: § 234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234 BBauG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