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231 BBauG — Einigung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Einigen sich die Beteiligten während eines gerichtlichen Verfahrens, das eine Enteignung betrifft, so gelten die §§ 110 und 111 entsprechend. Das Gericht tritt an die Stelle der Enteignungsbehörde.</w:t>
      </w:r>
    </w:p>
    <w:p>
      <w:r>
        <w:rPr>
          <w:color w:val="555555"/>
          <w:sz w:val="17"/>
        </w:rPr>
        <w:t xml:space="preserve">Zitiervorschlag: § 231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https://recht.nulegal.eu/gesetze/BBauG/231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