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219 BBauG — Örtliche Zuständigkeit der Landgerichte</w:t>
      </w:r>
    </w:p>
    <w:p>
      <w:r>
        <w:rPr>
          <w:color w:val="555555"/>
          <w:sz w:val="18"/>
        </w:rPr>
        <w:t xml:space="preserve">Baugesetzbuch</w:t>
      </w:r>
    </w:p>
    <w:p>
      <w:r>
        <w:rPr>
          <w:color w:val="555555"/>
          <w:sz w:val="18"/>
        </w:rPr>
        <w:t xml:space="preserve">Stand: 10.06.2019 (konsolidierte Textfassung, kein amtliches Inkrafttretensdatum)</w:t>
      </w:r>
    </w:p>
    <w:p>
      <w:r>
        <w:t xml:space="preserve">(1) Örtlich zuständig ist das Landgericht, in dessen Bezirk die Stelle, die den Verwaltungsakt erlassen hat, ihren Sitz hat.</w:t>
      </w:r>
    </w:p>
    <w:p>
      <w:r>
        <w:t xml:space="preserve">(2) Die Landesregierungen können durch Rechtsverordnung die Verhandlung und Entscheidung über Anträge auf gerichtliche Entscheidung einem Landgericht für die Bezirke mehrerer Landgerichte zuweisen, wenn die Zusammenfassung für eine Förderung oder schnellere Erledigung der Verfahren sachdienlich ist. Die Landesregierungen können diese Ermächtigung auf die Landesjustizverwaltungen übertragen.</w:t>
      </w:r>
    </w:p>
    <w:p>
      <w:r>
        <w:rPr>
          <w:color w:val="555555"/>
          <w:sz w:val="17"/>
        </w:rPr>
        <w:t xml:space="preserve">Zitiervorschlag: § 219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219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