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216a BBauG — Unwirksamkeit von Bebauungsplänen mit Abweichungen von der Technischen Anleitung zum Schutz gegen Lärm</w:t>
      </w:r>
    </w:p>
    <w:p>
      <w:r>
        <w:rPr>
          <w:color w:val="555555"/>
          <w:sz w:val="18"/>
        </w:rPr>
        <w:t xml:space="preserve">Baugesetzbuch</w:t>
      </w:r>
    </w:p>
    <w:p>
      <w:r>
        <w:rPr>
          <w:color w:val="555555"/>
          <w:sz w:val="18"/>
        </w:rPr>
        <w:t xml:space="preserve">Stand: 30.10.2025 (konsolidierte Textfassung, kein amtliches Inkrafttretensdatum)</w:t>
      </w:r>
    </w:p>
    <w:p>
      <w:r>
        <w:t xml:space="preserve">(1) Erweist sich ein Bebauungsplan mit Festsetzungen nach § 9 Absatz 1 Nummer 23 Buchstabe a Doppelbuchstabe aa, die von der Technischen Anleitung zum Schutz gegen Lärm abweichen, durch gerichtliche Entscheidung als unwirksam, nachdem ein Wohnbauvorhaben entsprechend diesen abweichenden Festsetzungen verwirklicht wurde, entscheiden die zuständige Bauaufsichts- und die zuständige Immissionsschutzbehörde im Einvernehmen über die Anordnung von lärmmindernden Maßnahmen nach dem Bauordnungsrecht oder dem Immissionsschutzrecht, die zur Wahrung gesunder Wohn- und Arbeitsverhältnisse erforderlich sind. Kann ein Einvernehmen nicht erreicht werden, entscheidet die höhere Verwaltungsbehörde. Ist eine geräuschemittierende Anlage betroffen, welche im Wege einer das Bau- und Immissionsschutzrecht konzentrierenden Planfeststellung oder Plangenehmigung genehmigt wurde, entscheidet in Bezug auf diese Anlage die Planfeststellungs- oder Plangenehmigungsbehörde im Benehmen mit der zuständigen Bauaufsichts- und der zuständigen Immissionsschutzbehörde. Dabei ziehen die zuständigen Behörden sämtliche Maßnahmen zur Lärmminderung an der Schallquelle, auf dem Ausbreitungsweg und an der schutzbedürftigen Wohnnutzung in Betracht. In Bezug auf den baulichen Bestand, der auf Grundlage der von der Technischen Anleitung zum Schutz gegen Lärm abweichenden unwirksamen Festsetzungen nach § 9 Absatz 1 Nummer 23 Buchstabe a Doppelbuchstabe aa errichtet wurde, ist die Technische Anleitung zum Schutz gegen Lärm insoweit nicht anzuwenden.</w:t>
      </w:r>
    </w:p>
    <w:p>
      <w:r>
        <w:t xml:space="preserve">(2) An geräuschemittierende Anlagen, die sich vor dem Hinzutreten des Wohnbauvorhabens nach Absatz 1 Satz 1 bereits in Betrieb befanden, dürfen Anforderungen nach Absatz 1 nur gestellt werden, wenn diese zumutbar sind und sich die Gemeinde, der Vorhabenträger des Wohnbauvorhabens oder ein anderer Eigentümer oder Nutzungsberechtigter zur Übernahme der hierdurch entstehenden Kosten verpflichtet. Weitergehende Anforderungen zum Schutz oder zur Vorsorge gegen schädliche Umwelteinwirkungen durch Geräusche in Bezug auf die auf Grundlage der unwirksamen Festsetzungen hinzugetretene bauliche Nutzung aufgrund des Bundes-Immissionsschutzgesetzes sind ausgeschlossen.</w:t>
      </w:r>
    </w:p>
    <w:p>
      <w:r>
        <w:t xml:space="preserve">(3) Anstelle von Anordnungen nach den Absätzen 1 und 2 können zur Wahrung gesunder Wohn- und Arbeitsverhältnisse auch vertragliche Vereinbarungen nach § 11 getroffen werden.</w:t>
      </w:r>
    </w:p>
    <w:p>
      <w:r>
        <w:t xml:space="preserve">(4) Die Möglichkeit der Gemeinde, den Bebauungsplan im ergänzenden Verfahren nach § 214 Absatz 4 zu heilen, bleibt unberührt.</w:t>
      </w:r>
    </w:p>
    <w:p>
      <w:r>
        <w:rPr>
          <w:color w:val="555555"/>
          <w:sz w:val="17"/>
        </w:rPr>
        <w:t xml:space="preserve">Zitiervorschlag: § 216a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