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216 BBauG — Aufgaben im Genehmigungsverfahren</w:t>
      </w:r>
    </w:p>
    <w:p>
      <w:r>
        <w:rPr>
          <w:color w:val="555555"/>
          <w:sz w:val="18"/>
        </w:rPr>
        <w:t xml:space="preserve">Baugesetzbuch</w:t>
      </w:r>
    </w:p>
    <w:p>
      <w:r>
        <w:rPr>
          <w:color w:val="555555"/>
          <w:sz w:val="18"/>
        </w:rPr>
        <w:t xml:space="preserve">Stand: 10.06.2019 (konsolidierte Textfassung, kein amtliches Inkrafttretensdatum)</w:t>
      </w:r>
    </w:p>
    <w:p>
      <w:r>
        <w:t xml:space="preserve">Die Verpflichtung der für das Genehmigungsverfahren zuständigen Behörde, die Einhaltung der Vorschriften zu prüfen, deren Verletzung sich nach den §§ 214 und 215 auf die Rechtswirksamkeit eines Flächennutzungsplans oder einer Satzung nicht auswirkt, bleibt unberührt.</w:t>
      </w:r>
    </w:p>
    <w:p>
      <w:r>
        <w:rPr>
          <w:color w:val="555555"/>
          <w:sz w:val="17"/>
        </w:rPr>
        <w:t xml:space="preserve">Zitiervorschlag: § 216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