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215 BBauG — Frist für die Geltendmachung der Verletzung von Vorschriften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Unbeachtlich werden</w:t>
      </w:r>
    </w:p>
    <w:p>
      <w:pPr>
        <w:ind w:left="420"/>
      </w:pPr>
      <w:r>
        <w:t xml:space="preserve">1. eine nach § 214 Absatz 1 Satz 1 Nummer 1 bis 3 beachtliche Verletzung der dort bezeichneten Verfahrens- und Formvorschriften,</w:t>
      </w:r>
    </w:p>
    <w:p>
      <w:pPr>
        <w:ind w:left="420"/>
      </w:pPr>
      <w:r>
        <w:t xml:space="preserve">2. eine unter Berücksichtigung des § 214 Absatz 2 beachtliche Verletzung der Vorschriften über das Verhältnis des Bebauungsplans und des Flächennutzungsplans und</w:t>
      </w:r>
    </w:p>
    <w:p>
      <w:pPr>
        <w:ind w:left="420"/>
      </w:pPr>
      <w:r>
        <w:t xml:space="preserve">3. nach § 214 Absatz 3 Satz 2 beachtliche Mängel des Abwägungsvorgangs,</w:t>
      </w:r>
    </w:p>
    <w:p>
      <w:r>
        <w:t xml:space="preserve">wenn sie nicht innerhalb eines Jahres seit Bekanntmachung des Flächennutzungsplans oder der Satzung schriftlich gegenüber der Gemeinde unter Darlegung des die Verletzung begründenden Sachverhalts geltend gemacht worden sind. Satz 1 gilt entsprechend, wenn Fehler nach § 214 Absatz 2a beachtlich sind.</w:t>
      </w:r>
    </w:p>
    <w:p>
      <w:r>
        <w:t xml:space="preserve">(2) Bei Inkraftsetzung des Flächennutzungsplans oder der Satzung ist auf die Voraussetzungen für die Geltendmachung der Verletzung von Vorschriften sowie auf die Rechtsfolgen hinzuweisen.</w:t>
      </w:r>
    </w:p>
    <w:p>
      <w:r>
        <w:rPr>
          <w:color w:val="555555"/>
          <w:sz w:val="17"/>
        </w:rPr>
        <w:t xml:space="preserve">Zitiervorschlag: § 215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