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213 BBauG — Ordnungswidrigkeiten</w:t>
      </w:r>
    </w:p>
    <w:p>
      <w:r>
        <w:rPr>
          <w:color w:val="555555"/>
          <w:sz w:val="18"/>
        </w:rPr>
        <w:t xml:space="preserve">Baugesetzbuch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Ordnungswidrig handelt, wer</w:t>
      </w:r>
    </w:p>
    <w:p>
      <w:pPr>
        <w:ind w:left="420"/>
      </w:pPr>
      <w:r>
        <w:t xml:space="preserve">1. wider besseres Wissen unrichtige Angaben macht oder unrichtige Pläne oder Unterlagen vorlegt, um einen begünstigenden Verwaltungsakt zu erwirken oder einen belastenden Verwaltungsakt zu verhindern;</w:t>
      </w:r>
    </w:p>
    <w:p>
      <w:pPr>
        <w:ind w:left="420"/>
      </w:pPr>
      <w:r>
        <w:t xml:space="preserve">2. Pfähle, Pflöcke oder sonstige Markierungen, die Vorarbeiten dienen, wegnimmt, verändert, unkenntlich macht oder unrichtig setzt;</w:t>
      </w:r>
    </w:p>
    <w:p>
      <w:pPr>
        <w:ind w:left="420"/>
      </w:pPr>
      <w:r>
        <w:t xml:space="preserve">3. einer in einem Bebauungsplan nach § 9 Absatz 1 Nummer 25 Buchstabe b festgesetzten Bindung für Bepflanzungen und für die Erhaltung von Bäumen, Sträuchern und sonstigen Bepflanzungen sowie von Gewässern dadurch zuwiderhandelt, dass diese beseitigt, wesentlich beeinträchtigt oder zerstört werden;</w:t>
      </w:r>
    </w:p>
    <w:p>
      <w:pPr>
        <w:ind w:left="420"/>
      </w:pPr>
      <w:r>
        <w:t xml:space="preserve">4. eine bauliche Anlage im Geltungsbereich einer Erhaltungssatzung (§ 172 Absatz 1 Satz 1) oder einer Satzung über die Durchführung von Stadtumbaumaßnahmen (§ 171d Absatz 1) ohne Genehmigung rückbaut oder ändert.</w:t>
      </w:r>
    </w:p>
    <w:p>
      <w:r>
        <w:t xml:space="preserve">(2) Ordnungswidrig handelt, wer vorsätzlich oder fahrlässig ohne Genehmigung nach § 22 Absatz 1 Satz 1 Nummer 5 einen dort genannten Raum als Nebenwohnung nutzt.</w:t>
      </w:r>
    </w:p>
    <w:p>
      <w:r>
        <w:t xml:space="preserve">(3) Die Ordnungswidrigkeit kann in den Fällen des Absatzes 2 mit einer Geldbuße bis zu fünfzigtausend Euro, in den Fällen des Absatzes 1 Nummer 4 mit einer Geldbuße bis zu dreißigtausend Euro, in den Fällen des Absatzes 1 Nummer 3 mit einer Geldbuße bis zu zehntausend Euro und in den übrigen Fällen mit einer Geldbuße bis zu tausend Euro geahndet werden.</w:t>
      </w:r>
    </w:p>
    <w:p>
      <w:r>
        <w:rPr>
          <w:color w:val="555555"/>
          <w:sz w:val="17"/>
        </w:rPr>
        <w:t xml:space="preserve">Zitiervorschlag: § 213 BBauG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https://recht.nulegal.eu/gesetze/BBauG/213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