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212a BBauG — Entfall der aufschiebenden Wirkung</w:t>
      </w:r>
    </w:p>
    <w:p>
      <w:r>
        <w:rPr>
          <w:color w:val="555555"/>
          <w:sz w:val="18"/>
        </w:rPr>
        <w:t xml:space="preserve">Baugesetzbuch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Widerspruch und Anfechtungsklage eines Dritten gegen die bauaufsichtliche Zulassung eines Vorhabens haben keine aufschiebende Wirkung.</w:t>
      </w:r>
    </w:p>
    <w:p>
      <w:r>
        <w:t xml:space="preserve">(2) Widerspruch und Anfechtungsklage gegen die Geltendmachung des Kostenerstattungsbetrags nach § 135a Absatz 3 sowie des Ausgleichsbetrags nach § 154 durch die Gemeinde haben keine aufschiebende Wirkung.</w:t>
      </w:r>
    </w:p>
    <w:p>
      <w:r>
        <w:rPr>
          <w:color w:val="555555"/>
          <w:sz w:val="17"/>
        </w:rPr>
        <w:t xml:space="preserve">Zitiervorschlag: § 212a BBauG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https://recht.nulegal.eu/gesetze/BBauG/212a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