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212 BBauG — Vorverfahren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Landesregierungen können durch Rechtsverordnung bestimmen, dass ein nach dem Vierten oder Fünften Teil des Ersten Kapitels erlassener Verwaltungsakt durch Antrag auf gerichtliche Entscheidung nach § 217 erst angefochten werden kann, nachdem seine Rechtmäßigkeit und Zweckmäßigkeit in einem Vorverfahren nachgeprüft worden ist; das Vorverfahren ist in Anlehnung an die Vorschriften der Verwaltungsgerichtsordnung zu regeln.</w:t>
      </w:r>
    </w:p>
    <w:p>
      <w:r>
        <w:t xml:space="preserve">(2) Ist ein Vorverfahren vorgesehen, hat der Widerspruch gegen</w:t>
      </w:r>
    </w:p>
    <w:p>
      <w:pPr>
        <w:ind w:left="420"/>
      </w:pPr>
      <w:r>
        <w:t xml:space="preserve">1. den Umlegungsbeschluss nach § 47 Absatz 1,</w:t>
      </w:r>
    </w:p>
    <w:p>
      <w:pPr>
        <w:ind w:left="420"/>
      </w:pPr>
      <w:r>
        <w:t xml:space="preserve">2. die Bekanntmachung der Unanfechtbarkeit des Umlegungsplans nach § 71 Absatz 1 sowie</w:t>
      </w:r>
    </w:p>
    <w:p>
      <w:pPr>
        <w:ind w:left="420"/>
      </w:pPr>
      <w:r>
        <w:t xml:space="preserve">3. die vorzeitige Besitzeinweisung nach § 77 oder § 116</w:t>
      </w:r>
    </w:p>
    <w:p>
      <w:r>
        <w:t xml:space="preserve">keine aufschiebende Wirkung. § 80 Absatz 4 und 5 der Verwaltungsgerichtsordnung ist entsprechend anzuwenden.</w:t>
      </w:r>
    </w:p>
    <w:p>
      <w:r>
        <w:rPr>
          <w:color w:val="555555"/>
          <w:sz w:val="17"/>
        </w:rPr>
        <w:t xml:space="preserve">Zitiervorschlag: § 212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https://recht.nulegal.eu/gesetze/BBauG/212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