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208 BBauG — Anordnungen zur Erforschung des Sachverhalts</w:t>
      </w:r>
    </w:p>
    <w:p>
      <w:r>
        <w:rPr>
          <w:color w:val="555555"/>
          <w:sz w:val="18"/>
        </w:rPr>
        <w:t xml:space="preserve">Baugesetzbuch</w:t>
      </w:r>
    </w:p>
    <w:p>
      <w:r>
        <w:rPr>
          <w:color w:val="555555"/>
          <w:sz w:val="18"/>
        </w:rPr>
        <w:t xml:space="preserve">Stand: 10.06.2019 (konsolidierte Textfassung, kein amtliches Inkrafttretensdatum)</w:t>
      </w:r>
    </w:p>
    <w:p>
      <w:r>
        <w:t xml:space="preserve">Die Behörden können zur Erforschung des Sachverhalts auch anordnen, dass</w:t>
      </w:r>
    </w:p>
    <w:p>
      <w:pPr>
        <w:ind w:left="420"/>
      </w:pPr>
      <w:r>
        <w:t xml:space="preserve">1. Beteiligte persönlich erscheinen,</w:t>
      </w:r>
    </w:p>
    <w:p>
      <w:pPr>
        <w:ind w:left="420"/>
      </w:pPr>
      <w:r>
        <w:t xml:space="preserve">2. Urkunden und sonstige Unterlagen vorgelegt werden, auf die sich ein Beteiligter bezogen hat,</w:t>
      </w:r>
    </w:p>
    <w:p>
      <w:pPr>
        <w:ind w:left="420"/>
      </w:pPr>
      <w:r>
        <w:t xml:space="preserve">3. Hypotheken-, Grundschuld- und Rentenschuldgläubiger die in ihrem Besitz befindlichen Hypotheken-, Grundschuld- und Rentenschuldbriefe vorlegen.</w:t>
      </w:r>
    </w:p>
    <w:p>
      <w:r>
        <w:t xml:space="preserve">Für den Fall, dass ein Beteiligter der Anordnung nicht nachkommt, kann ein Zwangsgeld bis zu fünfhundert Euro angedroht und festgesetzt werden. Ist Beteiligter eine juristische Person oder eine nichtrechtsfähige Personenvereinigung, so ist das Zwangsgeld dem nach Gesetz oder Satzung Vertretungsberechtigten anzudrohen und gegen ihn festzusetzen. Androhung und Festsetzung können wiederholt werden.</w:t>
      </w:r>
    </w:p>
    <w:p>
      <w:r>
        <w:rPr>
          <w:color w:val="555555"/>
          <w:sz w:val="17"/>
        </w:rPr>
        <w:t xml:space="preserve">Zitiervorschlag: § 208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https://recht.nulegal.eu/gesetze/BBauG/208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