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200a BBauG — Ersatzmaßnahmen</w:t>
      </w:r>
    </w:p>
    <w:p>
      <w:r>
        <w:rPr>
          <w:color w:val="555555"/>
          <w:sz w:val="18"/>
        </w:rPr>
        <w:t xml:space="preserve">Baugesetzbuch</w:t>
      </w:r>
    </w:p>
    <w:p>
      <w:r>
        <w:rPr>
          <w:color w:val="555555"/>
          <w:sz w:val="18"/>
        </w:rPr>
        <w:t xml:space="preserve">Stand: 10.06.2019 (konsolidierte Textfassung, kein amtliches Inkrafttretensdatum)</w:t>
      </w:r>
    </w:p>
    <w:p>
      <w:r>
        <w:t xml:space="preserve">Darstellungen für Flächen zum Ausgleich und Festsetzungen für Flächen oder Maßnahmen zum Ausgleich im Sinne des § 1a Absatz 3 umfassen auch Ersatzmaßnahmen. Ein unmittelbarer räumlicher Zusammenhang zwischen Eingriff und Ausgleich ist nicht erforderlich, soweit dies mit einer geordneten städtebaulichen Entwicklung und den Zielen der Raumordnung sowie des Naturschutzes und der Landschaftspflege vereinbar ist.</w:t>
      </w:r>
    </w:p>
    <w:p>
      <w:r>
        <w:rPr>
          <w:color w:val="555555"/>
          <w:sz w:val="17"/>
        </w:rPr>
        <w:t xml:space="preserve">Zitiervorschlag: § 200a BBauG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https://recht.nulegal.eu/gesetze/BBauG/200a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