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193 BBauG — Aufgaben des Gutachterausschusses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Gutachterausschuss erstattet Gutachten über den Verkehrswert von bebauten und unbebauten Grundstücken sowie Rechten an Grundstücken, wenn</w:t>
      </w:r>
    </w:p>
    <w:p>
      <w:pPr>
        <w:ind w:left="420"/>
      </w:pPr>
      <w:r>
        <w:t xml:space="preserve">1. die für den Vollzug dieses Gesetzbuchs zuständigen Behörden bei der Erfüllung der Aufgaben nach diesem Gesetzbuch,</w:t>
      </w:r>
    </w:p>
    <w:p>
      <w:pPr>
        <w:ind w:left="420"/>
      </w:pPr>
      <w:r>
        <w:t xml:space="preserve">2. die für die Feststellung des Werts eines Grundstücks oder der Entschädigung für ein Grundstück oder ein Recht an einem Grundstück auf Grund anderer gesetzlicher Vorschriften zuständigen Behörden,</w:t>
      </w:r>
    </w:p>
    <w:p>
      <w:pPr>
        <w:ind w:left="420"/>
      </w:pPr>
      <w:r>
        <w:t xml:space="preserve">3. die Eigentümer, ihnen gleichstehende Berechtigte, Inhaber anderer Rechte am Grundstück und Pflichtteilsberechtigte, für deren Pflichtteil der Wert des Grundstücks von Bedeutung ist, oder</w:t>
      </w:r>
    </w:p>
    <w:p>
      <w:pPr>
        <w:ind w:left="420"/>
      </w:pPr>
      <w:r>
        <w:t xml:space="preserve">4. Gerichte und Justizbehörden</w:t>
      </w:r>
    </w:p>
    <w:p>
      <w:r>
        <w:t xml:space="preserve">es beantragen. Unberührt bleiben Antragsberechtigungen nach anderen Rechtsvorschriften.</w:t>
      </w:r>
    </w:p>
    <w:p>
      <w:r>
        <w:t xml:space="preserve">(2) Der Gutachterausschuss kann außer über die Höhe der Entschädigung für den Rechtsverlust auch Gutachten über die Höhe der Entschädigung für andere Vermögensnachteile erstatten.</w:t>
      </w:r>
    </w:p>
    <w:p>
      <w:r>
        <w:t xml:space="preserve">(3) Die Gutachten haben keine bindende Wirkung, soweit nichts anderes bestimmt oder vereinbart ist.</w:t>
      </w:r>
    </w:p>
    <w:p>
      <w:r>
        <w:t xml:space="preserve">(4) Eine Abschrift des Gutachtens ist dem Eigentümer zu übersenden.</w:t>
      </w:r>
    </w:p>
    <w:p>
      <w:r>
        <w:t xml:space="preserve">(5) Der Gutachterausschuss führt eine Kaufpreissammlung, wertet sie aus und ermittelt Bodenrichtwerte und sonstige zur Wertermittlung erforderliche Daten. Zu den sonstigen für die Wertermittlung erforderlichen Daten gehören insbesondere</w:t>
      </w:r>
    </w:p>
    <w:p>
      <w:pPr>
        <w:ind w:left="420"/>
      </w:pPr>
      <w:r>
        <w:t xml:space="preserve">1. Kapitalisierungszinssätze, mit denen die Verkehrswerte von Grundstücken im Durchschnitt marktüblich verzinst werden (Liegenschaftszinssätze), für die verschiedenen Grundstücksarten, insbesondere Mietwohngrundstücke, Geschäftsgrundstücke und gemischt genutzte Grundstücke,</w:t>
      </w:r>
    </w:p>
    <w:p>
      <w:pPr>
        <w:ind w:left="420"/>
      </w:pPr>
      <w:r>
        <w:t xml:space="preserve">2. Faktoren zur Anpassung der Sachwerte an die jeweilige Lage auf dem Grundstücksmarkt (Sachwertfaktoren), insbesondere für die Grundstücksarten Ein- und Zweifamilienhäuser,</w:t>
      </w:r>
    </w:p>
    <w:p>
      <w:pPr>
        <w:ind w:left="420"/>
      </w:pPr>
      <w:r>
        <w:t xml:space="preserve">3. Umrechnungskoeffizienten für das Wertverhältnis von sonst gleichartigen Grundstücken, z. B. bei unterschiedlichem Maß der baulichen Nutzung und</w:t>
      </w:r>
    </w:p>
    <w:p>
      <w:pPr>
        <w:ind w:left="420"/>
      </w:pPr>
      <w:r>
        <w:t xml:space="preserve">4. Vergleichsfaktoren für bebaute Grundstücke, insbesondere bezogen auf eine Raum- oder Flächeneinheit der baulichen Anlage (Gebäudefaktor) oder auf den nachhaltig erzielbaren jährlichen Ertrag (Ertragsfaktor).</w:t>
      </w:r>
    </w:p>
    <w:p>
      <w:r>
        <w:t xml:space="preserve">Die erforderlichen Daten im Sinne der Sätze 1 und 2 sind den zuständigen Finanzämtern für Zwecke der steuerlichen Bewertung mitzuteilen.</w:t>
      </w:r>
    </w:p>
    <w:p>
      <w:r>
        <w:rPr>
          <w:color w:val="555555"/>
          <w:sz w:val="17"/>
        </w:rPr>
        <w:t xml:space="preserve">Zitiervorschlag: § 193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