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183 BBauG — Aufhebung von Miet- oder Pachtverhältnissen über unbebaute Grundstücke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Ist nach den Festsetzungen des Bebauungsplans für ein unbebautes Grundstück eine andere Nutzung vorgesehen und ist die alsbaldige Änderung der Nutzung beabsichtigt, kann die Gemeinde auf Antrag des Eigentümers Miet- oder Pachtverhältnisse aufheben, die sich auf das Grundstück beziehen und der neuen Nutzung entgegenstehen.</w:t>
      </w:r>
    </w:p>
    <w:p>
      <w:r>
        <w:t xml:space="preserve">(2) Auf die Aufhebung ist § 182 Absatz 1 entsprechend anzuwenden.</w:t>
      </w:r>
    </w:p>
    <w:p>
      <w:r>
        <w:rPr>
          <w:color w:val="555555"/>
          <w:sz w:val="17"/>
        </w:rPr>
        <w:t xml:space="preserve">Zitiervorschlag: § 183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https://recht.nulegal.eu/gesetze/BBauG/183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