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182 BBauG — Aufhebung von Miet- oder Pachtverhältnissen</w:t>
      </w:r>
    </w:p>
    <w:p>
      <w:r>
        <w:rPr>
          <w:color w:val="555555"/>
          <w:sz w:val="18"/>
        </w:rPr>
        <w:t xml:space="preserve">Baugesetzbuch</w:t>
      </w:r>
    </w:p>
    <w:p>
      <w:r>
        <w:rPr>
          <w:color w:val="555555"/>
          <w:sz w:val="18"/>
        </w:rPr>
        <w:t xml:space="preserve">Stand: 10.06.2019 (konsolidierte Textfassung, kein amtliches Inkrafttretensdatum)</w:t>
      </w:r>
    </w:p>
    <w:p>
      <w:r>
        <w:t xml:space="preserve">(1) Erfordert die Verwirklichung der Ziele und Zwecke der Sanierung im förmlich festgelegten Sanierungsgebiet, der Entwicklung im städtebaulichen Entwicklungsbereich oder eine Maßnahme nach den §§ 176 bis 179 die Aufhebung eines Miet- oder Pachtverhältnisses, kann die Gemeinde das Rechtsverhältnis auf Antrag des Eigentümers oder im Hinblick auf ein städtebauliches Gebot mit einer Frist von mindestens sechs Monaten, bei einem land- oder forstwirtschaftlich genutzten Grundstück nur zum Schluss eines Pachtjahres aufheben.</w:t>
      </w:r>
    </w:p>
    <w:p>
      <w:r>
        <w:t xml:space="preserve">(2) Die Gemeinde darf ein Mietverhältnis über Wohnraum nur aufheben, wenn im Zeitpunkt der Beendigung des Mietverhältnisses angemessener Ersatzwohnraum für den Mieter und die zu seinem Hausstand gehörenden Personen zu zumutbaren Bedingungen zur Verfügung steht. Strebt der Mieter oder Pächter von Geschäftsraum eine anderweitige Unterbringung an, soll die Gemeinde das Miet- oder Pachtverhältnis nur aufheben, wenn im Zeitpunkt der Beendigung des Rechtsverhältnisses anderer geeigneter Geschäftsraum zu zumutbaren Bedingungen zur Verfügung steht.</w:t>
      </w:r>
    </w:p>
    <w:p>
      <w:r>
        <w:t xml:space="preserve">(3) Wird die Erwerbsgrundlage eines Mieters oder Pächters von Geschäftsraum im förmlich festgelegten Sanierungsgebiet oder in einem städtebaulichen Entwicklungsbereich infolge der Durchführung städtebaulicher Sanierungsmaßnahmen oder städtebaulicher Entwicklungsmaßnahmen wesentlich beeinträchtigt und ist ihm deshalb die Fortsetzung des Miet- oder Pachtverhältnisses nicht mehr zuzumuten, kann die Gemeinde auf Antrag des Mieters oder Pächters das Rechtsverhältnis mit einer Frist von mindestens sechs Monaten aufheben.</w:t>
      </w:r>
    </w:p>
    <w:p>
      <w:r>
        <w:rPr>
          <w:color w:val="555555"/>
          <w:sz w:val="17"/>
        </w:rPr>
        <w:t xml:space="preserve">Zitiervorschlag: § 182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https://recht.nulegal.eu/gesetze/BBauG/182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