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176a BBauG — Städtebauliches Entwicklungskonzept zur Stärkung der Innenentwicklung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23.06.2021 (konsolidierte Textfassung, kein amtliches Inkrafttretensdatum)</w:t>
      </w:r>
    </w:p>
    <w:p>
      <w:r>
        <w:t xml:space="preserve">(1) Die Gemeinde kann ein städtebauliches Entwicklungskonzept beschließen, das Aussagen zum räumlichen Geltungsbereich, zu Zielen und zur Umsetzung von Maßnahmen enthält, die der Stärkung der Innenentwicklung dienen.</w:t>
      </w:r>
    </w:p>
    <w:p>
      <w:r>
        <w:t xml:space="preserve">(2) Das städtebauliche Entwicklungskonzept nach Absatz 1 soll insbesondere der baulichen Nutzbarmachung auch von im Gemeindegebiet ohne Zusammenhang verteilt liegenden unbebauten oder brachliegenden Grundstücken dienen.</w:t>
      </w:r>
    </w:p>
    <w:p>
      <w:r>
        <w:t xml:space="preserve">(3) Die Gemeinde kann ein städtebauliches Entwicklungskonzept nach Absatz 1 zum Bestandteil der Begründung eines Bebauungsplans machen.</w:t>
      </w:r>
    </w:p>
    <w:p>
      <w:r>
        <w:rPr>
          <w:color w:val="555555"/>
          <w:sz w:val="17"/>
        </w:rPr>
        <w:t xml:space="preserve">Zitiervorschlag: § 176a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https://recht.nulegal.eu/gesetze/BBauG/176a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