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173 BBauG — Genehmigung, Übernahmeanspruch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Genehmigung wird durch die Gemeinde erteilt; § 22 Absatz 5 Satz 2 bis 5 ist entsprechend anzuwenden. Ist eine baurechtliche Genehmigung oder an ihrer Stelle eine baurechtliche Zustimmung erforderlich, wird die Genehmigung durch die Baugenehmigungsbehörde im Einvernehmen mit der Gemeinde erteilt; im Baugenehmigungs- oder Zustimmungsverfahren wird über die in § 172 Absatz 3 bis 5 bezeichneten Belange entschieden.</w:t>
      </w:r>
    </w:p>
    <w:p>
      <w:r>
        <w:t xml:space="preserve">(2) Wird in den Fällen des § 172 Absatz 3 die Genehmigung versagt, kann der Eigentümer von der Gemeinde unter den Voraussetzungen des § 40 Absatz 2 die Übernahme des Grundstücks verlangen. § 43 Absatz 1, 4 und 5 sowie § 44 Absatz 3 und 4 sind entsprechend anzuwenden.</w:t>
      </w:r>
    </w:p>
    <w:p>
      <w:r>
        <w:t xml:space="preserve">(3) Vor der Entscheidung über den Genehmigungsantrag hat die Gemeinde mit dem Eigentümer oder sonstigen zur Unterhaltung Verpflichteten die für die Entscheidung erheblichen Tatsachen zu erörtern. In den Fällen des § 172 Absatz 4 und 5 hat sie auch Mieter, Pächter und sonstige Nutzungsberechtigte zu hören. In den Fällen des § 172 Absatz 4 Satz 3 Nummer 6 hat sie die nach Satz 2 anzuhörenden Personen über die Erteilung einer Genehmigung zu informieren.</w:t>
      </w:r>
    </w:p>
    <w:p>
      <w:r>
        <w:t xml:space="preserve">(4) Die landesrechtlichen Vorschriften, insbesondere über den Schutz und die Erhaltung von Denkmälern, bleiben unberührt.</w:t>
      </w:r>
    </w:p>
    <w:p>
      <w:r>
        <w:rPr>
          <w:color w:val="555555"/>
          <w:sz w:val="17"/>
        </w:rPr>
        <w:t xml:space="preserve">Zitiervorschlag: § 173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https://recht.nulegal.eu/gesetze/BBauG/173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