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171f BBauG — Private Initiativen zur Stadtentwicklung, Landesrecht</w:t>
      </w:r>
    </w:p>
    <w:p>
      <w:r>
        <w:rPr>
          <w:color w:val="555555"/>
          <w:sz w:val="18"/>
        </w:rPr>
        <w:t xml:space="preserve">Baugesetzbuch</w:t>
      </w:r>
    </w:p>
    <w:p>
      <w:r>
        <w:rPr>
          <w:color w:val="555555"/>
          <w:sz w:val="18"/>
        </w:rPr>
        <w:t xml:space="preserve">Stand: 10.06.2019 (konsolidierte Textfassung, kein amtliches Inkrafttretensdatum)</w:t>
      </w:r>
    </w:p>
    <w:p>
      <w:r>
        <w:t xml:space="preserve">Nach Maßgabe des Landesrechts können unbeschadet sonstiger Maßnahmen nach diesem Gesetzbuch Gebiete festgelegt werden, in denen in privater Verantwortung standortbezogene Maßnahmen durchgeführt werden, die auf der Grundlage eines mit den städtebaulichen Zielen der Gemeinde abgestimmten Konzepts der Stärkung oder Entwicklung von Bereichen der Innenstädte, Stadtteilzentren, Wohnquartiere und Gewerbezentren sowie von sonstigen für die städtebauliche Entwicklung bedeutsamen Bereichen dienen. Zur Finanzierung der Maßnahmen und gerechten Verteilung des damit verbundenen Aufwands können durch Landesrecht Regelungen getroffen werden.</w:t>
      </w:r>
    </w:p>
    <w:p>
      <w:r>
        <w:rPr>
          <w:color w:val="555555"/>
          <w:sz w:val="17"/>
        </w:rPr>
        <w:t xml:space="preserve">Zitiervorschlag: § 171f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https://recht.nulegal.eu/gesetze/BBauG/171f</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171f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