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171c BBauG — Stadtumbauvertrag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 soll soweit erforderlich zur Umsetzung ihres städtebaulichen Entwicklungskonzeptes die Möglichkeit nutzen, Stadtumbaumaßnahmen auf der Grundlage von städtebaulichen Verträgen im Sinne des § 11 insbesondere mit den beteiligten Eigentümern durchzuführen. Gegenstände der Verträge können insbesondere auch sein</w:t>
      </w:r>
    </w:p>
    <w:p>
      <w:pPr>
        <w:ind w:left="420"/>
      </w:pPr>
      <w:r>
        <w:t xml:space="preserve">1. die Durchführung des Rückbaus oder der Anpassung baulicher Anlagen innerhalb einer bestimmten Frist und die Kostentragung dafür;</w:t>
      </w:r>
    </w:p>
    <w:p>
      <w:pPr>
        <w:ind w:left="420"/>
      </w:pPr>
      <w:r>
        <w:t xml:space="preserve">2. der Verzicht auf die Ausübung von Ansprüchen nach den §§ 39 bis 44;</w:t>
      </w:r>
    </w:p>
    <w:p>
      <w:pPr>
        <w:ind w:left="420"/>
      </w:pPr>
      <w:r>
        <w:t xml:space="preserve">3. der Ausgleich von Lasten zwischen den beteiligten Eigentümern.</w:t>
      </w:r>
    </w:p>
    <w:p>
      <w:r>
        <w:rPr>
          <w:color w:val="555555"/>
          <w:sz w:val="17"/>
        </w:rPr>
        <w:t xml:space="preserve">Zitiervorschlag: § 171c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https://recht.nulegal.eu/gesetze/BBauG/171c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