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171b BBauG — Stadtumbaugebiet, städtebauliches Entwicklungskonzept</w:t>
      </w:r>
    </w:p>
    <w:p>
      <w:r>
        <w:rPr>
          <w:color w:val="555555"/>
          <w:sz w:val="18"/>
        </w:rPr>
        <w:t xml:space="preserve">Baugesetzbuch</w:t>
      </w:r>
    </w:p>
    <w:p>
      <w:r>
        <w:rPr>
          <w:color w:val="555555"/>
          <w:sz w:val="18"/>
        </w:rPr>
        <w:t xml:space="preserve">Stand: 10.06.2019 (konsolidierte Textfassung, kein amtliches Inkrafttretensdatum)</w:t>
      </w:r>
    </w:p>
    <w:p>
      <w:r>
        <w:t xml:space="preserve">(1) Die Gemeinde legt das Gebiet, in dem Stadtumbaumaßnahmen durchgeführt werden sollen, durch Beschluss als Stadtumbaugebiet fest. Es ist in seinem räumlichen Umfang so festzulegen, dass sich die Maßnahmen zweckmäßig durchführen lassen.</w:t>
      </w:r>
    </w:p>
    <w:p>
      <w:r>
        <w:t xml:space="preserve">(2) Grundlage für den Beschluss nach Absatz 1 ist ein von der Gemeinde aufzustellendes städtebauliches Entwicklungskonzept, in dem die Ziele und Maßnahmen (§ 171a Absatz 3) im Stadtumbaugebiet schriftlich darzustellen sind. Die öffentlichen und privaten Belange sind gegeneinander und untereinander gerecht abzuwägen.</w:t>
      </w:r>
    </w:p>
    <w:p>
      <w:r>
        <w:t xml:space="preserve">(3) Die §§ 137 und 139 sind bei der Vorbereitung und Durchführung der Stadtumbaumaßnahmen entsprechend anzuwenden.</w:t>
      </w:r>
    </w:p>
    <w:p>
      <w:r>
        <w:t xml:space="preserve">(4) Die §§ 164a und 164b sind im Stadtumbaugebiet entsprechend anzuwenden.</w:t>
      </w:r>
    </w:p>
    <w:p>
      <w:r>
        <w:rPr>
          <w:color w:val="555555"/>
          <w:sz w:val="17"/>
        </w:rPr>
        <w:t xml:space="preserve">Zitiervorschlag: § 171b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https://recht.nulegal.eu/gesetze/BBauG/171b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