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170 BBauG — Sonderregelung für Anpassungsgebiete</w:t>
      </w:r>
    </w:p>
    <w:p>
      <w:r>
        <w:rPr>
          <w:color w:val="555555"/>
          <w:sz w:val="18"/>
        </w:rPr>
        <w:t xml:space="preserve">Baugesetzbuch</w:t>
      </w:r>
    </w:p>
    <w:p>
      <w:r>
        <w:rPr>
          <w:color w:val="555555"/>
          <w:sz w:val="18"/>
        </w:rPr>
        <w:t xml:space="preserve">Stand: 10.06.2019 (konsolidierte Textfassung, kein amtliches Inkrafttretensdatum)</w:t>
      </w:r>
    </w:p>
    <w:p>
      <w:r>
        <w:t xml:space="preserve">Ergeben sich aus den Zielen und Zwecken der städtebaulichen Entwicklungsmaßnahme in einem im Zusammenhang bebauten Gebiet Maßnahmen zur Anpassung an die vorgesehene Entwicklung, kann die Gemeinde dieses Gebiet in der Entwicklungssatzung förmlich festlegen (Anpassungsgebiet). Das Anpassungsgebiet ist in der Entwicklungssatzung zu bezeichnen. Die förmliche Festlegung darf erst erfolgen, wenn entsprechend § 141 vorbereitende Untersuchungen durchgeführt worden sind. In dem Anpassungsgebiet sind neben den für städtebauliche Entwicklungsmaßnahmen geltenden Vorschriften mit Ausnahme des § 166 Absatz 3 und des § 169 Absatz 2 bis 8 die Vorschriften über städtebauliche Sanierungsmaßnahmen entsprechend anzuwenden, mit Ausnahme der §§ 136, 142 und 143.</w:t>
      </w:r>
    </w:p>
    <w:p>
      <w:r>
        <w:rPr>
          <w:color w:val="555555"/>
          <w:sz w:val="17"/>
        </w:rPr>
        <w:t xml:space="preserve">Zitiervorschlag: § 170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