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BBauG — Geltungsdauer der Veränderungssperre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Veränderungssperre tritt nach Ablauf von zwei Jahren außer Kraft. Auf die Zweijahresfrist ist der seit der Zustellung der ersten Zurückstellung eines Baugesuchs nach § 15 Absatz 1 abgelaufene Zeitraum anzurechnen. Die Gemeinde kann die Frist um ein Jahr verlängern.</w:t>
      </w:r>
    </w:p>
    <w:p>
      <w:r>
        <w:t xml:space="preserve">(2) Wenn besondere Umstände es erfordern, kann die Gemeinde die Frist bis zu einem weiteren Jahr nochmals verlängern.</w:t>
      </w:r>
    </w:p>
    <w:p>
      <w:r>
        <w:t xml:space="preserve">(3) Die Gemeinde kann eine außer Kraft getretene Veränderungssperre ganz oder teilweise erneut beschließen, wenn die Voraussetzungen für ihren Erlass fortbestehen.</w:t>
      </w:r>
    </w:p>
    <w:p>
      <w:r>
        <w:t xml:space="preserve">(4) Die Veränderungssperre ist vor Fristablauf ganz oder teilweise außer Kraft zu setzen, sobald die Voraussetzungen für ihren Erlass weggefallen sind.</w:t>
      </w:r>
    </w:p>
    <w:p>
      <w:r>
        <w:t xml:space="preserve">(5) Die Veränderungssperre tritt in jedem Fall außer Kraft, sobald und soweit die Bauleitplanung rechtsverbindlich abgeschlossen ist.</w:t>
      </w:r>
    </w:p>
    <w:p>
      <w:r>
        <w:t xml:space="preserve">(6) Mit der förmlichen Festlegung des Sanierungsgebiets oder des städtebaulichen Entwicklungsbereichs tritt eine bestehende Veränderungssperre nach § 14 außer Kraft. Dies gilt nicht, wenn in der Sanierungssatzung die Genehmigungspflicht nach § 144 Absatz 1 ausgeschlossen ist.</w:t>
      </w:r>
    </w:p>
    <w:p>
      <w:r>
        <w:rPr>
          <w:color w:val="555555"/>
          <w:sz w:val="17"/>
        </w:rPr>
        <w:t xml:space="preserve">Zitiervorschlag: § 17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