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BBauG — Zuständigkeit und Aufgaben</w:t>
      </w:r>
    </w:p>
    <w:p>
      <w:r>
        <w:rPr>
          <w:color w:val="555555"/>
          <w:sz w:val="18"/>
        </w:rPr>
        <w:t xml:space="preserve">Baugesetzbuch</w:t>
      </w:r>
    </w:p>
    <w:p>
      <w:r>
        <w:rPr>
          <w:color w:val="555555"/>
          <w:sz w:val="18"/>
        </w:rPr>
        <w:t xml:space="preserve">Stand: 10.06.2019 (konsolidierte Textfassung, kein amtliches Inkrafttretensdatum)</w:t>
      </w:r>
    </w:p>
    <w:p>
      <w:r>
        <w:t xml:space="preserve">(1) Die Entwicklungsmaßnahme wird von der Gemeinde vorbereitet und durchgeführt, sofern nicht nach Absatz 4 eine abweichende Regelung getroffen wird. Die Gemeinde hat für den städtebaulichen Entwicklungsbereich ohne Verzug Bebauungspläne aufzustellen und, soweit eine Aufgabe nicht nach sonstigen gesetzlichen Vorschriften einem anderen obliegt, alle erforderlichen Maßnahmen zu ergreifen, um die vorgesehene Entwicklung im städtebaulichen Entwicklungsbereich zu verwirklichen.</w:t>
      </w:r>
    </w:p>
    <w:p>
      <w:r>
        <w:t xml:space="preserve">(2) Die Gemeinde hat die Voraussetzungen dafür zu schaffen, dass ein funktionsfähiger Bereich entsprechend der beabsichtigten städtebaulichen Entwicklung und Ordnung entsteht, der nach seinem wirtschaftlichen Gefüge und der Zusammensetzung seiner Bevölkerung den Zielen und Zwecken der städtebaulichen Entwicklungsmaßnahme entspricht und in dem eine ordnungsgemäße und zweckentsprechende Versorgung der Bevölkerung mit Gütern und Dienstleistungen sichergestellt ist.</w:t>
      </w:r>
    </w:p>
    <w:p>
      <w:r>
        <w:t xml:space="preserve">(3) Die Gemeinde soll die Grundstücke im städtebaulichen Entwicklungsbereich erwerben. Dabei soll sie feststellen, ob und in welcher Rechtsform die bisherigen Eigentümer einen späteren Erwerb von Grundstücken oder Rechten im Rahmen des § 169 Absatz 6 anstreben. Die Gemeinde soll von dem Erwerb eines Grundstücks absehen, wenn</w:t>
      </w:r>
    </w:p>
    <w:p>
      <w:pPr>
        <w:ind w:left="420"/>
      </w:pPr>
      <w:r>
        <w:t xml:space="preserve">1. bei einem baulich genutzten Grundstück die Art und das Maß der baulichen Nutzung bei der Durchführung der Entwicklungsmaßnahme nicht geändert werden sollen oder</w:t>
      </w:r>
    </w:p>
    <w:p>
      <w:pPr>
        <w:ind w:left="420"/>
      </w:pPr>
      <w:r>
        <w:t xml:space="preserve">2. der Eigentümer eines Grundstücks, dessen Verwendung nach den Zielen und Zwecken der städtebaulichen Entwicklungsmaßnahme bestimmt oder mit ausreichender Sicherheit bestimmbar ist, in der Lage ist, das Grundstück binnen angemessener Frist dementsprechend zu nutzen, und er sich hierzu verpflichtet.</w:t>
      </w:r>
    </w:p>
    <w:p>
      <w:r>
        <w:t xml:space="preserve">Erwirbt die Gemeinde ein Grundstück nicht, ist der Eigentümer verpflichtet, einen Ausgleichsbetrag an die Gemeinde zu entrichten, der der durch die Entwicklungsmaßnahme bedingten Erhöhung des Bodenwerts seines Grundstücks entspricht.</w:t>
      </w:r>
    </w:p>
    <w:p>
      <w:r>
        <w:t xml:space="preserve">(4) Die Vorbereitung und Durchführung der Entwicklungsmaßnahme kann einem Planungsverband nach § 205 Absatz 4 übertragen werden.</w:t>
      </w:r>
    </w:p>
    <w:p>
      <w:r>
        <w:rPr>
          <w:color w:val="555555"/>
          <w:sz w:val="17"/>
        </w:rPr>
        <w:t xml:space="preserve">Zitiervorschlag: § 166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