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BBauG — Beschluss über die Veränderungssperre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Veränderungssperre wird von der Gemeinde als Satzung beschlossen.</w:t>
      </w:r>
    </w:p>
    <w:p>
      <w:r>
        <w:t xml:space="preserve">(2) Die Gemeinde hat die Veränderungssperre ortsüblich bekannt zu machen. Sie kann auch ortsüblich bekannt machen, dass eine Veränderungssperre beschlossen worden ist; § 10 Absatz 3 Satz 2 bis 5 ist entsprechend anzuwenden.</w:t>
      </w:r>
    </w:p>
    <w:p>
      <w:r>
        <w:rPr>
          <w:color w:val="555555"/>
          <w:sz w:val="17"/>
        </w:rPr>
        <w:t xml:space="preserve">Zitiervorschlag: § 16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