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158 BBauG — Voraussetzungen für die Beauftragung als Sanierungsträger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Dem Unternehmen können die Aufgaben als Sanierungsträger nur übertragen werden, wenn</w:t>
      </w:r>
    </w:p>
    <w:p>
      <w:pPr>
        <w:ind w:left="420"/>
      </w:pPr>
      <w:r>
        <w:t xml:space="preserve">1. das Unternehmen nicht selbst als Bauunternehmen tätig oder von einem Bauunternehmen abhängig ist,</w:t>
      </w:r>
    </w:p>
    <w:p>
      <w:pPr>
        <w:ind w:left="420"/>
      </w:pPr>
      <w:r>
        <w:t xml:space="preserve">2. das Unternehmen nach seiner Geschäftstätigkeit und seinen wirtschaftlichen Verhältnissen geeignet und in der Lage ist, die Aufgaben eines Sanierungsträgers ordnungsgemäß zu erfüllen,</w:t>
      </w:r>
    </w:p>
    <w:p>
      <w:pPr>
        <w:ind w:left="420"/>
      </w:pPr>
      <w:r>
        <w:t xml:space="preserve">3. das Unternehmen, sofern es nicht bereits kraft Gesetzes einer jährlichen Prüfung seiner Geschäftstätigkeit und seiner wirtschaftlichen Verhältnisse unterliegt, sich einer derartigen Prüfung unterworfen hat oder unterwirft,</w:t>
      </w:r>
    </w:p>
    <w:p>
      <w:pPr>
        <w:ind w:left="420"/>
      </w:pPr>
      <w:r>
        <w:t xml:space="preserve">4. die zur Vertretung berufenen Personen sowie die leitenden Angestellten die erforderliche geschäftliche Zuverlässigkeit besitzen.</w:t>
      </w:r>
    </w:p>
    <w:p>
      <w:r>
        <w:rPr>
          <w:color w:val="555555"/>
          <w:sz w:val="17"/>
        </w:rPr>
        <w:t xml:space="preserve">Zitiervorschlag: § 158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