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157 BBauG — Erfüllung von Aufgaben für die Gemeinde</w:t>
      </w:r>
    </w:p>
    <w:p>
      <w:r>
        <w:rPr>
          <w:color w:val="555555"/>
          <w:sz w:val="18"/>
        </w:rPr>
        <w:t xml:space="preserve">Baugesetzbuch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Gemeinde kann sich zur Erfüllung von Aufgaben, die ihr bei der Vorbereitung oder Durchführung der Sanierung obliegen, eines geeigneten Beauftragten bedienen. Sie darf jedoch die Aufgabe,</w:t>
      </w:r>
    </w:p>
    <w:p>
      <w:pPr>
        <w:ind w:left="420"/>
      </w:pPr>
      <w:r>
        <w:t xml:space="preserve">1. städtebauliche Sanierungsmaßnahmen durchzuführen, die der Gemeinde nach den §§ 146 bis 148 obliegen,</w:t>
      </w:r>
    </w:p>
    <w:p>
      <w:pPr>
        <w:ind w:left="420"/>
      </w:pPr>
      <w:r>
        <w:t xml:space="preserve">2. Grundstücke oder Rechte an ihnen zur Vorbereitung oder Durchführung der Sanierung im Auftrag der Gemeinde zu erwerben,</w:t>
      </w:r>
    </w:p>
    <w:p>
      <w:pPr>
        <w:ind w:left="420"/>
      </w:pPr>
      <w:r>
        <w:t xml:space="preserve">3. der Sanierung dienende Mittel zu bewirtschaften,</w:t>
      </w:r>
    </w:p>
    <w:p>
      <w:r>
        <w:t xml:space="preserve">nur einem Unternehmen (Sanierungsträger) übertragen, das die Voraussetzungen für die Übernahme der Aufgaben als Sanierungsträger nach § 158 erfüllt.</w:t>
      </w:r>
    </w:p>
    <w:p>
      <w:r>
        <w:t xml:space="preserve">(2) Die Gemeinde soll die Ausarbeitung der Bauleitpläne und die Aufgaben eines für eigene Rechnung tätigen Sanierungsträgers nicht demselben Unternehmen oder einem rechtlich oder wirtschaftlich von ihm abhängigen Unternehmen übertragen.</w:t>
      </w:r>
    </w:p>
    <w:p>
      <w:r>
        <w:rPr>
          <w:color w:val="555555"/>
          <w:sz w:val="17"/>
        </w:rPr>
        <w:t xml:space="preserve">Zitiervorschlag: § 157 BBauG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https://recht.nulegal.eu/gesetze/BBauG/157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157 BBauG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