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156a BBauG — Kosten und Finanzierung der Sanierungsmaßnahme</w:t>
      </w:r>
    </w:p>
    <w:p>
      <w:r>
        <w:rPr>
          <w:color w:val="555555"/>
          <w:sz w:val="18"/>
        </w:rPr>
        <w:t xml:space="preserve">Baugesetzbuch</w:t>
      </w:r>
    </w:p>
    <w:p>
      <w:r>
        <w:rPr>
          <w:color w:val="555555"/>
          <w:sz w:val="18"/>
        </w:rPr>
        <w:t xml:space="preserve">Stand: 10.06.2019 (konsolidierte Textfassung, kein amtliches Inkrafttretensdatum)</w:t>
      </w:r>
    </w:p>
    <w:p>
      <w:r>
        <w:t xml:space="preserve">(1) Ergibt sich nach der Durchführung der städtebaulichen Sanierungsmaßnahme und der Übertragung eines Treuhandvermögens des Sanierungsträgers auf die Gemeinde bei ihr ein Überschuss der bei der Vorbereitung und Durchführung der städtebaulichen Sanierungsmaßnahme erzielten Einnahmen über die hierfür getätigten Ausgaben, so ist dieser Überschuss auf die Eigentümer der im Sanierungsgebiet gelegenen Grundstücke zu verteilen. Maßgebend sind die Eigentumsverhältnisse bei der Bekanntmachung des Beschlusses über die förmliche Festlegung des Sanierungsgebiets. Ist nach diesem Zeitpunkt das Eigentum gegen Entgelt übertragen worden, so steht der auf das Grundstück entfallende Anteil dem früheren Eigentümer und dem Eigentümer, der zu einem Ausgleichsbetrag nach § 154 herangezogen worden ist, je zur Hälfte zu.</w:t>
      </w:r>
    </w:p>
    <w:p>
      <w:r>
        <w:t xml:space="preserve">(2) Die auf die einzelnen Grundstücke entfallenden Anteile des Überschusses sind nach dem Verhältnis der Anfangswerte der Grundstücke im Sinne des § 154 Absatz 2 zu bestimmen.</w:t>
      </w:r>
    </w:p>
    <w:p>
      <w:r>
        <w:t xml:space="preserve">(3) Die Gemeinde hat bei der Errechnung des Überschusses Zuschüsse abzuziehen, die ihr oder Eigentümern aus Mitteln eines anderen öffentlichen Haushalts zur Deckung von Kosten der Vorbereitung oder Durchführung der Sanierungsmaßnahme gewährt worden sind. Im Übrigen bestimmt sich das Verfahren zur Verteilung des Überschusses nach landesrechtlichen Regelungen.</w:t>
      </w:r>
    </w:p>
    <w:p>
      <w:r>
        <w:rPr>
          <w:color w:val="555555"/>
          <w:sz w:val="17"/>
        </w:rPr>
        <w:t xml:space="preserve">Zitiervorschlag: § 156a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https://recht.nulegal.eu/gesetze/BBauG/156a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156a BBauG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