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156 BBauG — Überleitungsvorschriften zur förmlichen Festlegung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Beitragspflichten für Erschließungsanlagen im Sinne des § 127 Absatz 2, die vor der förmlichen Festlegung entstanden sind, bleiben unberührt. Entsprechendes gilt für Kostenerstattungsbeträge im Sinne des § 135a Absatz 3.</w:t>
      </w:r>
    </w:p>
    <w:p>
      <w:r>
        <w:t xml:space="preserve">(2) Hat die Umlegungsstelle vor der förmlichen Festlegung des Sanierungsgebiets in einem Umlegungsverfahren, das sich auf Grundstücke im Gebiet bezieht, den Umlegungsplan nach § 66 Absatz 1 aufgestellt oder ist eine Vorwegentscheidung nach § 76 getroffen worden, bleibt es dabei.</w:t>
      </w:r>
    </w:p>
    <w:p>
      <w:r>
        <w:t xml:space="preserve">(3) Hat die Enteignungsbehörde vor der förmlichen Festlegung des Sanierungsgebiets den Enteignungsbeschluss nach § 113 für ein in dem Gebiet gelegenes Grundstück erlassen oder ist eine Einigung nach § 110 beurkundet worden, sind die Vorschriften des Ersten Kapitels weiter anzuwenden.</w:t>
      </w:r>
    </w:p>
    <w:p>
      <w:r>
        <w:rPr>
          <w:color w:val="555555"/>
          <w:sz w:val="17"/>
        </w:rPr>
        <w:t xml:space="preserve">Zitiervorschlag: § 156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