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BBauG — Bekanntmachung der Sanierungssatzung, Sanierungsvermerk</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hat die Sanierungssatzung ortsüblich bekannt zu machen. Sie kann auch ortsüblich bekannt machen, dass eine Sanierungssatzung beschlossen worden ist; § 10 Absatz 3 Satz 2 bis 5 ist entsprechend anzuwenden. In der Bekanntmachung nach den Sätzen 1 und 2 ist – außer im vereinfachten Sanierungsverfahren – auf die Vorschriften des Dritten Abschnitts hinzuweisen. Mit der Bekanntmachung wird die Sanierungssatzung rechtsverbindlich.</w:t>
      </w:r>
    </w:p>
    <w:p>
      <w:r>
        <w:t xml:space="preserve">(2) Die Gemeinde teilt dem Grundbuchamt die rechtsverbindliche Sanierungssatzung mit und hat hierbei die von der Sanierungssatzung betroffenen Grundstücke einzeln aufzuführen. Das Grundbuchamt hat in die Grundbücher dieser Grundstücke einzutragen, dass eine Sanierung durchgeführt wird (Sanierungsvermerk). § 54 Absatz 2 und 3 ist entsprechend anzuwenden. Die Sätze 1 bis 3 sind nicht anzuwenden, wenn in der Sanierungssatzung die Genehmigungspflicht nach § 144 Absatz 2 ausgeschlossen ist.</w:t>
      </w:r>
    </w:p>
    <w:p>
      <w:r>
        <w:rPr>
          <w:color w:val="555555"/>
          <w:sz w:val="17"/>
        </w:rPr>
        <w:t xml:space="preserve">Zitiervorschlag: § 143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