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141 BBauG — Vorbereitende Untersuchungen</w:t>
      </w:r>
    </w:p>
    <w:p>
      <w:r>
        <w:rPr>
          <w:color w:val="555555"/>
          <w:sz w:val="18"/>
        </w:rPr>
        <w:t xml:space="preserve">Baugesetzbuch</w:t>
      </w:r>
    </w:p>
    <w:p>
      <w:r>
        <w:rPr>
          <w:color w:val="555555"/>
          <w:sz w:val="18"/>
        </w:rPr>
        <w:t xml:space="preserve">Stand: 10.06.2019 (konsolidierte Textfassung, kein amtliches Inkrafttretensdatum)</w:t>
      </w:r>
    </w:p>
    <w:p>
      <w:r>
        <w:t xml:space="preserve">(1) Die Gemeinde hat vor der förmlichen Festlegung des Sanierungsgebiets die vorbereitenden Untersuchungen durchzuführen oder zu veranlassen, die erforderlich sind, um Beurteilungsunterlagen zu gewinnen über die Notwendigkeit der Sanierung, die sozialen, strukturellen und städtebaulichen Verhältnisse und Zusammenhänge sowie die anzustrebenden allgemeinen Ziele und die Durchführbarkeit der Sanierung im Allgemeinen. Die vorbereitenden Untersuchungen sollen sich auch auf nachteilige Auswirkungen erstrecken, die sich für die von der beabsichtigten Sanierung unmittelbar Betroffenen in ihren persönlichen Lebensumständen im wirtschaftlichen oder sozialen Bereich voraussichtlich ergeben werden.</w:t>
      </w:r>
    </w:p>
    <w:p>
      <w:r>
        <w:t xml:space="preserve">(2) Von vorbereitenden Untersuchungen kann abgesehen werden, wenn hinreichende Beurteilungsunterlagen bereits vorliegen.</w:t>
      </w:r>
    </w:p>
    <w:p>
      <w:r>
        <w:t xml:space="preserve">(3) Die Gemeinde leitet die Vorbereitung der Sanierung durch den Beschluss über den Beginn der vorbereitenden Untersuchungen ein. Der Beschluss ist ortsüblich bekannt zu machen. Dabei ist auf die Auskunftspflicht nach § 138 hinzuweisen.</w:t>
      </w:r>
    </w:p>
    <w:p>
      <w:r>
        <w:t xml:space="preserve">(4) Mit der ortsüblichen Bekanntmachung des Beschlusses über den Beginn der vorbereitenden Untersuchungen finden die §§ 137, 138 und 139 über die Beteiligung und Mitwirkung der Betroffenen, die Auskunftspflicht und die Beteiligung und Mitwirkung öffentlicher Aufgabenträger Anwendung; ab diesem Zeitpunkt ist § 15 auf die Durchführung eines Vorhabens im Sinne des § 29 Absatz 1 und auf die Beseitigung einer baulichen Anlage entsprechend anzuwenden. Mit der förmlichen Festlegung des Sanierungsgebiets wird ein Bescheid über die Zurückstellung des Baugesuchs sowie ein Bescheid über die Zurückstellung der Beseitigung einer baulichen Anlage nach Satz 1 zweiter Halbsatz unwirksam.</w:t>
      </w:r>
    </w:p>
    <w:p>
      <w:r>
        <w:rPr>
          <w:color w:val="555555"/>
          <w:sz w:val="17"/>
        </w:rPr>
        <w:t xml:space="preserve">Zitiervorschlag: § 141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