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BBauG — Beteiligung und Mitwirkung der Betroffenen</w:t>
      </w:r>
    </w:p>
    <w:p>
      <w:r>
        <w:rPr>
          <w:color w:val="555555"/>
          <w:sz w:val="18"/>
        </w:rPr>
        <w:t xml:space="preserve">Baugesetzbuch</w:t>
      </w:r>
    </w:p>
    <w:p>
      <w:r>
        <w:rPr>
          <w:color w:val="555555"/>
          <w:sz w:val="18"/>
        </w:rPr>
        <w:t xml:space="preserve">Stand: 10.06.2019 (konsolidierte Textfassung, kein amtliches Inkrafttretensdatum)</w:t>
      </w:r>
    </w:p>
    <w:p>
      <w:r>
        <w:t xml:space="preserve">Die Sanierung soll mit den Eigentümern, Mietern, Pächtern und sonstigen Betroffenen möglichst frühzeitig erörtert werden. Die Betroffenen sollen zur Mitwirkung bei der Sanierung und zur Durchführung der erforderlichen baulichen Maßnahmen angeregt und hierbei im Rahmen des Möglichen beraten werden.</w:t>
      </w:r>
    </w:p>
    <w:p>
      <w:r>
        <w:rPr>
          <w:color w:val="555555"/>
          <w:sz w:val="17"/>
        </w:rPr>
        <w:t xml:space="preserve">Zitiervorschlag: § 137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