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135a BBauG — Pflichten des Vorhabenträgers; Durchführung durch die Gemeinde; Kostenerstattung</w:t>
      </w:r>
    </w:p>
    <w:p>
      <w:r>
        <w:rPr>
          <w:color w:val="555555"/>
          <w:sz w:val="18"/>
        </w:rPr>
        <w:t xml:space="preserve">Baugesetzbuch</w:t>
      </w:r>
    </w:p>
    <w:p>
      <w:r>
        <w:rPr>
          <w:color w:val="555555"/>
          <w:sz w:val="18"/>
        </w:rPr>
        <w:t xml:space="preserve">Stand: 10.06.2019 (konsolidierte Textfassung, kein amtliches Inkrafttretensdatum)</w:t>
      </w:r>
    </w:p>
    <w:p>
      <w:r>
        <w:t xml:space="preserve">(1) Festgesetzte Maßnahmen zum Ausgleich im Sinne des § 1a Absatz 3 sind vom Vorhabenträger durchzuführen.</w:t>
      </w:r>
    </w:p>
    <w:p>
      <w:r>
        <w:t xml:space="preserve">(2) Soweit Maßnahmen zum Ausgleich an anderer Stelle den Grundstücken nach § 9 Absatz 1a zugeordnet sind, soll die Gemeinde diese anstelle und auf Kosten der Vorhabenträger oder der Eigentümer der Grundstücke durchführen und auch die hierfür erforderlichen Flächen bereitstellen, sofern dies nicht auf andere Weise gesichert ist. Die Maßnahmen zum Ausgleich können bereits vor den Baumaßnahmen und der Zuordnung durchgeführt werden.</w:t>
      </w:r>
    </w:p>
    <w:p>
      <w:r>
        <w:t xml:space="preserve">(3) Die Kosten können geltend gemacht werden, sobald die Grundstücke, auf denen Eingriffe zu erwarten sind, baulich oder gewerblich genutzt werden dürfen. Die Gemeinde erhebt zur Deckung ihres Aufwands für Maßnahmen zum Ausgleich einschließlich der Bereitstellung hierfür erforderlicher Flächen einen Kostenerstattungsbetrag. Die Erstattungspflicht entsteht mit der Herstellung der Maßnahmen zum Ausgleich durch die Gemeinde. Der Betrag ruht als öffentliche Last auf dem Grundstück.</w:t>
      </w:r>
    </w:p>
    <w:p>
      <w:r>
        <w:t xml:space="preserve">(4) Die landesrechtlichen Vorschriften über kommunale Beiträge einschließlich der Billigkeitsregelungen sind entsprechend anzuwenden.</w:t>
      </w:r>
    </w:p>
    <w:p>
      <w:r>
        <w:rPr>
          <w:color w:val="555555"/>
          <w:sz w:val="17"/>
        </w:rPr>
        <w:t xml:space="preserve">Zitiervorschlag: § 135a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https://recht.nulegal.eu/gesetze/BBauG/135a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