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132 BBauG — Regelung durch Satzung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Gemeinden regeln durch Satzung</w:t>
      </w:r>
    </w:p>
    <w:p>
      <w:pPr>
        <w:ind w:left="420"/>
      </w:pPr>
      <w:r>
        <w:t xml:space="preserve">1. die Art und den Umfang der Erschließungsanlagen im Sinne des § 129,</w:t>
      </w:r>
    </w:p>
    <w:p>
      <w:pPr>
        <w:ind w:left="420"/>
      </w:pPr>
      <w:r>
        <w:t xml:space="preserve">2. die Art der Ermittlung und der Verteilung des Aufwands sowie die Höhe des Einheitssatzes,</w:t>
      </w:r>
    </w:p>
    <w:p>
      <w:pPr>
        <w:ind w:left="420"/>
      </w:pPr>
      <w:r>
        <w:t xml:space="preserve">3. die Kostenspaltung (§ 127 Absatz 3) und</w:t>
      </w:r>
    </w:p>
    <w:p>
      <w:pPr>
        <w:ind w:left="420"/>
      </w:pPr>
      <w:r>
        <w:t xml:space="preserve">4. die Merkmale der endgültigen Herstellung einer Erschließungsanlage.</w:t>
      </w:r>
    </w:p>
    <w:p>
      <w:r>
        <w:rPr>
          <w:color w:val="555555"/>
          <w:sz w:val="17"/>
        </w:rPr>
        <w:t xml:space="preserve">Zitiervorschlag: § 132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https://recht.nulegal.eu/gesetze/BBauG/132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