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BBauG — Vereinfachtes Verfahren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07.07.2023 (konsolidierte Textfassung, kein amtliches Inkrafttretensdatum)</w:t>
      </w:r>
    </w:p>
    <w:p>
      <w:r>
        <w:t xml:space="preserve">(1) Werden durch die Änderung oder Ergänzung eines Bauleitplans die Grundzüge der Planung nicht berührt oder wird durch die Aufstellung eines Bebauungsplans in einem Gebiet nach § 34 der sich aus der vorhandenen Eigenart der näheren Umgebung ergebende Zulässigkeitsmaßstab nicht wesentlich verändert oder enthält er lediglich Festsetzungen nach § 9 Absatz 2a oder Absatz 2b, kann die Gemeinde das vereinfachte Verfahren anwenden, wenn</w:t>
      </w:r>
    </w:p>
    <w:p>
      <w:pPr>
        <w:ind w:left="420"/>
      </w:pPr>
      <w:r>
        <w:t xml:space="preserve">1. die Zulässigkeit von Vorhaben, die einer Pflicht zur Durchführung einer Umweltverträglichkeitsprüfung nach Anlage 1 zum Gesetz über die Umweltverträglichkeitsprüfung oder nach Landesrecht unterliegen, nicht vorbereitet oder begründet wird,</w:t>
      </w:r>
    </w:p>
    <w:p>
      <w:pPr>
        <w:ind w:left="420"/>
      </w:pPr>
      <w:r>
        <w:t xml:space="preserve">2. keine Anhaltspunkte für eine Beeinträchtigung der in § 1 Absatz 6 Nummer 7 Buchstabe b genannten Schutzgüter bestehen und</w:t>
      </w:r>
    </w:p>
    <w:p>
      <w:pPr>
        <w:ind w:left="420"/>
      </w:pPr>
      <w:r>
        <w:t xml:space="preserve">3. keine Anhaltspunkte dafür bestehen, dass bei der Planung Pflichten zur Vermeidung oder Begrenzung der Auswirkungen von schweren Unfällen nach § 50 Satz 1 des Bundes-Immissionsschutzgesetzes zu beachten sind.</w:t>
      </w:r>
    </w:p>
    <w:p>
      <w:r>
        <w:t xml:space="preserve">(2) Im vereinfachten Verfahren kann</w:t>
      </w:r>
    </w:p>
    <w:p>
      <w:pPr>
        <w:ind w:left="420"/>
      </w:pPr>
      <w:r>
        <w:t xml:space="preserve">1. von der frühzeitigen Unterrichtung und Erörterung nach § 3 Absatz 1 und § 4 Absatz 1 abgesehen werden,</w:t>
      </w:r>
    </w:p>
    <w:p>
      <w:pPr>
        <w:ind w:left="420"/>
      </w:pPr>
      <w:r>
        <w:t xml:space="preserve">2. der betroffenen Öffentlichkeit Gelegenheit zur Stellungnahme innerhalb angemessener Frist gegeben oder wahlweise die Veröffentlichung im Internet nach § 3 Absatz 2 durchgeführt werden,</w:t>
      </w:r>
    </w:p>
    <w:p>
      <w:pPr>
        <w:ind w:left="420"/>
      </w:pPr>
      <w:r>
        <w:t xml:space="preserve">3. den berührten Behörden und sonstigen Trägern öffentlicher Belange Gelegenheit zur Stellungnahme innerhalb angemessener Frist gegeben oder wahlweise die Beteiligung nach § 4 Absatz 2 durchgeführt werden.</w:t>
      </w:r>
    </w:p>
    <w:p>
      <w:r>
        <w:t xml:space="preserve">Wird nach Satz 1 Nummer 2 die betroffene Öffentlichkeit beteiligt, gilt die Hinweispflicht des § 3 Absatz 2 Satz 4 zweiter Halbsatz entsprechend.</w:t>
      </w:r>
    </w:p>
    <w:p>
      <w:r>
        <w:t xml:space="preserve">(3) Im vereinfachten Verfahren wird von der Umweltprüfung nach § 2 Absatz 4, von dem Umweltbericht nach § 2a, von der Angabe nach § 3 Absatz 2 Satz 4, welche Arten umweltbezogener Informationen verfügbar sind, sowie von der zusammenfassenden Erklärung nach § 6a Absatz 1 und § 10a Absatz 1 abgesehen; § 4c ist nicht anzuwenden. Bei der Beteiligung nach Absatz 2 Nummer 2 ist darauf hinzuweisen, dass von einer Umweltprüfung abgesehen wird.</w:t>
      </w:r>
    </w:p>
    <w:p>
      <w:r>
        <w:rPr>
          <w:color w:val="555555"/>
          <w:sz w:val="17"/>
        </w:rPr>
        <w:t xml:space="preserve">Zitiervorschlag: § 13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