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126 BBauG — Pflichten des Eigentümers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Eigentümer hat das Anbringen von</w:t>
      </w:r>
    </w:p>
    <w:p>
      <w:pPr>
        <w:ind w:left="420"/>
      </w:pPr>
      <w:r>
        <w:t xml:space="preserve">1. Haltevorrichtungen und Leitungen für Beleuchtungskörper der Straßenbeleuchtung einschließlich der Beleuchtungskörper und des Zubehörs sowie</w:t>
      </w:r>
    </w:p>
    <w:p>
      <w:pPr>
        <w:ind w:left="420"/>
      </w:pPr>
      <w:r>
        <w:t xml:space="preserve">2. Kennzeichen und Hinweisschildern für Erschließungsanlagen</w:t>
      </w:r>
    </w:p>
    <w:p>
      <w:r>
        <w:t xml:space="preserve">auf seinem Grundstück zu dulden. Er ist vorher zu benachrichtigen.</w:t>
      </w:r>
    </w:p>
    <w:p>
      <w:r>
        <w:t xml:space="preserve">(2) Der Erschließungsträger hat Schäden, die dem Eigentümer durch das Anbringen oder das Entfernen der in Absatz 1 bezeichneten Gegenstände entstehen, zu beseitigen; er kann stattdessen eine angemessene Entschädigung in Geld leisten. Kommt eine Einigung über die Entschädigung nicht zustande, so entscheidet die höhere Verwaltungsbehörde; vor der Entscheidung sind die Beteiligten zu hören.</w:t>
      </w:r>
    </w:p>
    <w:p>
      <w:r>
        <w:t xml:space="preserve">(3) Der Eigentümer hat sein Grundstück mit der von der Gemeinde festgesetzten Nummer zu versehen. Im Übrigen gelten die landesrechtlichen Vorschriften.</w:t>
      </w:r>
    </w:p>
    <w:p>
      <w:r>
        <w:rPr>
          <w:color w:val="555555"/>
          <w:sz w:val="17"/>
        </w:rPr>
        <w:t xml:space="preserve">Zitiervorschlag: § 126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126 BBauG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