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101 BBauG — Entschädigung durch Gewährung anderer Rechte</w:t>
      </w:r>
    </w:p>
    <w:p>
      <w:r>
        <w:rPr>
          <w:color w:val="555555"/>
          <w:sz w:val="18"/>
        </w:rPr>
        <w:t xml:space="preserve">Baugesetzbuch</w:t>
      </w:r>
    </w:p>
    <w:p>
      <w:r>
        <w:rPr>
          <w:color w:val="555555"/>
          <w:sz w:val="18"/>
        </w:rPr>
        <w:t xml:space="preserve">Stand: 10.06.2019 (konsolidierte Textfassung, kein amtliches Inkrafttretensdatum)</w:t>
      </w:r>
    </w:p>
    <w:p>
      <w:r>
        <w:t xml:space="preserve">(1) Der Eigentümer eines zu enteignenden Grundstücks kann auf seinen Antrag, wenn dies unter Abwägung der Belange der Beteiligten billig ist, ganz oder teilweise entschädigt werden</w:t>
      </w:r>
    </w:p>
    <w:p>
      <w:pPr>
        <w:ind w:left="420"/>
      </w:pPr>
      <w:r>
        <w:t xml:space="preserve">1. durch Bestellung oder Übertragung von Miteigentum an einem Grundstück, grundstücksgleichen Rechten, Rechten nach dem Wohnungseigentumsgesetz, sonstigen dinglichen Rechten an dem zu enteignenden Grundstück oder an einem anderen Grundstück des Enteignungsbegünstigten oder</w:t>
      </w:r>
    </w:p>
    <w:p>
      <w:pPr>
        <w:ind w:left="420"/>
      </w:pPr>
      <w:r>
        <w:t xml:space="preserve">2. durch Übertragung von Eigentum an einem bebauten Grundstück des Enteignungsbegünstigten oder</w:t>
      </w:r>
    </w:p>
    <w:p>
      <w:pPr>
        <w:ind w:left="420"/>
      </w:pPr>
      <w:r>
        <w:t xml:space="preserve">3. durch Übertragung von Eigentum an einem Grundstück des Enteignungsbegünstigten, das mit einem Eigenheim oder einer Kleinsiedlung bebaut werden soll.</w:t>
      </w:r>
    </w:p>
    <w:p>
      <w:r>
        <w:t xml:space="preserve">Bei Wertunterschieden zwischen den Rechten nach Satz 1 und dem zu enteignenden Grundstück gilt § 100 Absatz 5 entsprechend.</w:t>
      </w:r>
    </w:p>
    <w:p>
      <w:r>
        <w:t xml:space="preserve">(2) Der Antrag nach Absatz 1 muss bis zum Schluss der mündlichen Verhandlung schriftlich oder zur Niederschrift der Enteignungsbehörde gestellt werden.</w:t>
      </w:r>
    </w:p>
    <w:p>
      <w:r>
        <w:rPr>
          <w:color w:val="555555"/>
          <w:sz w:val="17"/>
        </w:rPr>
        <w:t xml:space="preserve">Zitiervorschlag: § 101 BBauG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https://recht.nulegal.eu/gesetze/BBauG/101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