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BBankPersV</w:t>
      </w:r>
    </w:p>
    <w:p>
      <w:r>
        <w:rPr>
          <w:color w:val="555555"/>
          <w:sz w:val="18"/>
        </w:rPr>
        <w:t xml:space="preserve">Bundesbankpersonal-Verordnung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 Absatz 4 des Gesetzes über die Deutsche Bundesbank, der durch Artikel 12 Nummer 1 Buchstabe b des Gesetzes vom 5. Februar 2009 (BGBl. I S. 160) neu gefasst worden ist, in Verbindung mit § 1 der Verordnung zur Übertragung von Verordnungsermächtigungen der Bundesregierung nach § 31 des Gesetzes über die Deutsche Bundesbank vom 9. April 2009 (BGBl. I S. 813) verordnet der Vorstand der Deutschen Bundesbank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BBankPersV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https://recht.nulegal.eu/gesetze/BBankPersV/eingangsformel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