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BBankPersV — Inkrafttreten</w:t>
      </w:r>
    </w:p>
    <w:p>
      <w:r>
        <w:rPr>
          <w:color w:val="555555"/>
          <w:sz w:val="18"/>
        </w:rPr>
        <w:t xml:space="preserve">Bundesbankpersonal-Verordnung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vorbehaltlich des Absatzes 2 am Tag nach der Verkündung in Kraft.</w:t>
      </w:r>
    </w:p>
    <w:p>
      <w:r>
        <w:t xml:space="preserve">(2) Die §§ 2 und 3 treten mit Wirkung vom 1. Juli 2009 in Kraft.</w:t>
      </w:r>
    </w:p>
    <w:p>
      <w:r>
        <w:rPr>
          <w:color w:val="555555"/>
          <w:sz w:val="17"/>
        </w:rPr>
        <w:t xml:space="preserve">Zitiervorschlag: § 8 BBankPersV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https://recht.nulegal.eu/gesetze/BBankPersV/8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