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BBankPersV — Hinausschieben einer Entlassung auf Antrag</w:t>
      </w:r>
    </w:p>
    <w:p>
      <w:r>
        <w:rPr>
          <w:color w:val="555555"/>
          <w:sz w:val="18"/>
        </w:rPr>
        <w:t xml:space="preserve">Bundesbankpersonal-Verordnung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von einer Beamtin oder einem Beamten beantragte Entlassung kann bis zu sechs Monate über den beantragten Zeitpunkt hinaus aufgeschoben werden, auch wenn die Voraussetzungen des § 33 Absatz 2 des Bundesbeamtengesetzes nicht vorliegen.</w:t>
      </w:r>
    </w:p>
    <w:p>
      <w:r>
        <w:rPr>
          <w:color w:val="555555"/>
          <w:sz w:val="17"/>
        </w:rPr>
        <w:t xml:space="preserve">Zitiervorschlag: § 6 BBankPersV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https://recht.nulegal.eu/gesetze/BBankPersV/6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