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BBankPersV — Genehmigungspflicht von Nebentätigkeiten</w:t>
      </w:r>
    </w:p>
    <w:p>
      <w:r>
        <w:rPr>
          <w:color w:val="555555"/>
          <w:sz w:val="18"/>
        </w:rPr>
        <w:t xml:space="preserve">Bundesbankpersonal-Verordnung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99 Absatz 1 Satz 2 Nummer 3 und § 100 Absatz 1 Nummer 2 des Bundesbeamtengesetzes dürfen Beamtinnen und Beamte sowie Angestellte der Deutschen Bundesbank nur mit vorheriger Genehmigung</w:t>
      </w:r>
    </w:p>
    <w:p>
      <w:pPr>
        <w:ind w:left="420"/>
      </w:pPr>
      <w:r>
        <w:t xml:space="preserve">1. unentgeltlich in Organen von Genossenschaften tätig sein,</w:t>
      </w:r>
    </w:p>
    <w:p>
      <w:pPr>
        <w:ind w:left="420"/>
      </w:pPr>
      <w:r>
        <w:t xml:space="preserve">2. aktuelle Fragen der Währungs- und Kreditpolitik schriftstellerisch, wissenschaftlich oder in Vorträgen behandeln.</w:t>
      </w:r>
    </w:p>
    <w:p>
      <w:r>
        <w:rPr>
          <w:color w:val="555555"/>
          <w:sz w:val="17"/>
        </w:rPr>
        <w:t xml:space="preserve">Zitiervorschlag: § 1 BBankPersV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https://recht.nulegal.eu/gesetze/BBankPersV/1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