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BBankLV</w:t>
      </w:r>
    </w:p>
    <w:p>
      <w:r>
        <w:rPr>
          <w:color w:val="555555"/>
          <w:sz w:val="18"/>
        </w:rPr>
        <w:t xml:space="preserve">Bundesbanklaufbahnverordnung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 Absatz 6 des Gesetzes über die Deutsche Bundesbank, der durch Artikel 12 Nummer 1 Buchstabe c des Gesetzes vom 5. Februar 2009 (BGBl. I S. 160) neu gefasst worden ist, in Verbindung mit § 2 der Verordnung zur Übertragung von Verordnungsermächtigungen der Bundesregierung nach § 31 des Gesetzes über die Deutsche Bundesbank vom 9. April 2009 (BGBl. I S. 813) verordnet der Vorstand der Deutschen Bundesbank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BBankLV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