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BBankLV — Dienstliche Beurteilung</w:t>
      </w:r>
    </w:p>
    <w:p>
      <w:r>
        <w:rPr>
          <w:color w:val="555555"/>
          <w:sz w:val="18"/>
        </w:rPr>
        <w:t xml:space="preserve">Bundesbanklaufbahnverordnung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Beurteilungsrichtlinien der Deutschen Bundesbank erlässt der Vorstand der Deutschen Bundesbank. Die §§ 48 bis 50 der Bundeslaufbahnverordnung bleiben im Übrigen unberührt.</w:t>
      </w:r>
    </w:p>
    <w:p>
      <w:r>
        <w:rPr>
          <w:color w:val="555555"/>
          <w:sz w:val="17"/>
        </w:rPr>
        <w:t xml:space="preserve">Zitiervorschlag: § 7 BBankLV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