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BBankLV — Wechsel von Wissenschaftlerinnen und Wissenschaftlern</w:t>
      </w:r>
    </w:p>
    <w:p>
      <w:r>
        <w:rPr>
          <w:color w:val="555555"/>
          <w:sz w:val="18"/>
        </w:rPr>
        <w:t xml:space="preserve">Bundesbanklaufbahnverordnung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43 der Bundeslaufbahnverordnung gilt mit der Maßgabe, dass in Nummer 4 die Besoldungsgruppe B 2 durch die Besoldungsgruppe B 3 und in Nummer 5 die Besoldungsgruppe B 4 durch die Besoldungsgruppe B 5 ersetzt wird.</w:t>
      </w:r>
    </w:p>
    <w:p>
      <w:r>
        <w:rPr>
          <w:color w:val="555555"/>
          <w:sz w:val="17"/>
        </w:rPr>
        <w:t xml:space="preserve">Zitiervorschlag: § 6 BBankLV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https://recht.nulegal.eu/gesetze/BBankLV/6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