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BBankLV — Befähigung für den höheren Bankdienst</w:t>
      </w:r>
    </w:p>
    <w:p>
      <w:r>
        <w:rPr>
          <w:color w:val="555555"/>
          <w:sz w:val="18"/>
        </w:rPr>
        <w:t xml:space="preserve">Bundesbanklaufbahnverordnung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Befähigung für die Laufbahn des höheren Bankdienstes hat auch, wer die Befähigung zum Richteramt hat.</w:t>
      </w:r>
    </w:p>
    <w:p>
      <w:r>
        <w:rPr>
          <w:color w:val="555555"/>
          <w:sz w:val="17"/>
        </w:rPr>
        <w:t xml:space="preserve">Zitiervorschlag: § 5 BBankLV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https://recht.nulegal.eu/gesetze/BBankLV/5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