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4a BBankLV — Besondere Fachverwendung Bargeldlogistik im mittleren Bankdienst</w:t>
      </w:r>
    </w:p>
    <w:p>
      <w:r>
        <w:rPr>
          <w:color w:val="555555"/>
          <w:sz w:val="18"/>
        </w:rPr>
        <w:t xml:space="preserve">Bundesbanklaufbahnverordnung</w:t>
      </w:r>
    </w:p>
    <w:p>
      <w:r>
        <w:rPr>
          <w:color w:val="555555"/>
          <w:sz w:val="18"/>
        </w:rPr>
        <w:t xml:space="preserve">Stand: 30.08.2025 (konsolidierte Textfassung, kein amtliches Inkrafttretensdatum)</w:t>
      </w:r>
    </w:p>
    <w:p>
      <w:r>
        <w:t xml:space="preserve">(1) In der Laufbahn des mittleren Bankdienstes wird die besondere Fachverwendung Bargeldlogistik eingerichtet.</w:t>
      </w:r>
    </w:p>
    <w:p>
      <w:r>
        <w:t xml:space="preserve">(2) Für die besondere Fachverwendung Bargeldlogistik im mittleren Bankdienst können Bewerberinnen und Bewerber nach Maßgabe des § 19 der Bundeslaufbahnverordnung eingestellt werden, wenn sie die folgenden Voraussetzungen erfüllen:</w:t>
      </w:r>
    </w:p>
    <w:p>
      <w:pPr>
        <w:ind w:left="420"/>
      </w:pPr>
      <w:r>
        <w:t xml:space="preserve">1. als Bildungsvoraussetzung einen Abschluss in einem anerkannten Ausbildungsberuf nach dem Berufsbildungsgesetz oder der Handwerksordnung</w:t>
      </w:r>
    </w:p>
    <w:p>
      <w:pPr>
        <w:ind w:left="780"/>
      </w:pPr>
      <w:r>
        <w:t xml:space="preserve">a) im gewerblich-technischen Bereich,</w:t>
      </w:r>
    </w:p>
    <w:p>
      <w:pPr>
        <w:ind w:left="780"/>
      </w:pPr>
      <w:r>
        <w:t xml:space="preserve">b) im handwerklichen Bereich,</w:t>
      </w:r>
    </w:p>
    <w:p>
      <w:pPr>
        <w:ind w:left="780"/>
      </w:pPr>
      <w:r>
        <w:t xml:space="preserve">c) im Bereich Logistik,</w:t>
      </w:r>
    </w:p>
    <w:p>
      <w:pPr>
        <w:ind w:left="780"/>
      </w:pPr>
      <w:r>
        <w:t xml:space="preserve">d) im Bereich Schutz und Sicherheit,</w:t>
      </w:r>
    </w:p>
    <w:p>
      <w:pPr>
        <w:ind w:left="780"/>
      </w:pPr>
      <w:r>
        <w:t xml:space="preserve">e) im Bereich der Justiz, des Steuerwesens oder der öffentlichen Verwaltung oder</w:t>
      </w:r>
    </w:p>
    <w:p>
      <w:pPr>
        <w:ind w:left="780"/>
      </w:pPr>
      <w:r>
        <w:t xml:space="preserve">f) im kaufmännischen Bereich und</w:t>
      </w:r>
    </w:p>
    <w:p>
      <w:pPr>
        <w:ind w:left="420"/>
      </w:pPr>
      <w:r>
        <w:t xml:space="preserve">2. eine hauptberufliche Tätigkeit in einem der in Nummer 1 genannten Bereiche oder im Bereich Bargeldlogistik der Deutschen Bundesbank von mindestens einem Jahr und sechs Monaten.</w:t>
      </w:r>
    </w:p>
    <w:p>
      <w:r>
        <w:t xml:space="preserve">(3) Beamtinnen und Beamte mit der Befähigung für die besondere Fachverwendung Bargeldlogistik im mittleren Bankdienst können durch eine 18-monatige berufspraktische Einführung die Befähigung für die Laufbahn des mittleren Bankdienstes erlangen. § 9 Satz 2 bis 4 gilt entsprechend.</w:t>
      </w:r>
    </w:p>
    <w:p>
      <w:r>
        <w:rPr>
          <w:color w:val="555555"/>
          <w:sz w:val="17"/>
        </w:rPr>
        <w:t xml:space="preserve">Zitiervorschlag: § 4a BBankLV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https://recht.nulegal.eu/gesetze/BBankLV/4a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