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BBankLV — Gestaltung und Ämter der Laufbahnen</w:t>
      </w:r>
    </w:p>
    <w:p>
      <w:r>
        <w:rPr>
          <w:color w:val="555555"/>
          <w:sz w:val="18"/>
        </w:rPr>
        <w:t xml:space="preserve">Bundesbanklaufbahnverordnung</w:t>
      </w:r>
    </w:p>
    <w:p>
      <w:r>
        <w:rPr>
          <w:color w:val="555555"/>
          <w:sz w:val="18"/>
        </w:rPr>
        <w:t xml:space="preserve">Stand: 30.08.2025 (konsolidierte Textfassung, kein amtliches Inkrafttretensdatum)</w:t>
      </w:r>
    </w:p>
    <w:p>
      <w:r>
        <w:t xml:space="preserve">(1) Bei der Deutschen Bundesbank sind zusätzlich zu den Laufbahnen nach § 6 Absatz 2 der Bundeslaufbahnverordnung folgende Laufbahnen eingerichtet:</w:t>
      </w:r>
    </w:p>
    <w:p>
      <w:pPr>
        <w:ind w:left="420"/>
      </w:pPr>
      <w:r>
        <w:t xml:space="preserve">1. der mittlere Bankdienst,</w:t>
      </w:r>
    </w:p>
    <w:p>
      <w:pPr>
        <w:ind w:left="420"/>
      </w:pPr>
      <w:r>
        <w:t xml:space="preserve">2. der gehobene Bankdienst und</w:t>
      </w:r>
    </w:p>
    <w:p>
      <w:pPr>
        <w:ind w:left="420"/>
      </w:pPr>
      <w:r>
        <w:t xml:space="preserve">3. der höhere Bankdienst.</w:t>
      </w:r>
    </w:p>
    <w:p>
      <w:r>
        <w:t xml:space="preserve">(2) Die Ämter der Laufbahnen, die bei der Deutschen Bundesbank eingerichtet sind, und die den Ämtern zugeordneten Amtsbezeichnungen ergeben sich aus der Anlage 1 zu dieser Verordnung. § 9 Absatz 2 der Bundeslaufbahnverordnung bleibt unberührt.</w:t>
      </w:r>
    </w:p>
    <w:p>
      <w:r>
        <w:rPr>
          <w:color w:val="555555"/>
          <w:sz w:val="17"/>
        </w:rPr>
        <w:t xml:space="preserve">Zitiervorschlag: § 2 BBankLV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