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BBankLV — Geltungsbereich</w:t>
      </w:r>
    </w:p>
    <w:p>
      <w:r>
        <w:rPr>
          <w:color w:val="555555"/>
          <w:sz w:val="18"/>
        </w:rPr>
        <w:t xml:space="preserve">Bundesbanklaufbahnverordnung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für die Beamtinnen und Beamten der Deutschen Bundesbank. Soweit in dieser Verordnung nichts anderes bestimmt ist, sind die Vorschriften der Bundeslaufbahnverordnung entsprechend anzuwenden.</w:t>
      </w:r>
    </w:p>
    <w:p>
      <w:r>
        <w:rPr>
          <w:color w:val="555555"/>
          <w:sz w:val="17"/>
        </w:rPr>
        <w:t xml:space="preserve">Zitiervorschlag: § 1 BBankLV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https://recht.nulegal.eu/gesetze/BBankLV/1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